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91"/>
        <w:gridCol w:w="1487"/>
        <w:gridCol w:w="2477"/>
        <w:gridCol w:w="1046"/>
        <w:gridCol w:w="1813"/>
        <w:gridCol w:w="2264"/>
        <w:gridCol w:w="141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32"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目录名称</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公开内容</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政务五公开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公开主体</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公开时限</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公开方式</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政策文件</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部门文件</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eastAsia="zh-CN"/>
              </w:rPr>
              <w:t>县</w:t>
            </w:r>
            <w:r>
              <w:rPr>
                <w:rStyle w:val="7"/>
                <w:rFonts w:hint="eastAsia" w:ascii="宋体" w:hAnsi="宋体" w:eastAsia="宋体" w:cs="宋体"/>
                <w:b/>
                <w:bCs/>
                <w:i w:val="0"/>
                <w:iCs w:val="0"/>
                <w:caps w:val="0"/>
                <w:color w:val="000000"/>
                <w:spacing w:val="0"/>
                <w:sz w:val="18"/>
                <w:szCs w:val="18"/>
              </w:rPr>
              <w:t>直各部门单位发布的文件</w:t>
            </w:r>
          </w:p>
        </w:tc>
        <w:tc>
          <w:tcPr>
            <w:tcW w:w="1046"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决策公开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default" w:ascii="宋体" w:hAnsi="宋体" w:eastAsia="宋体" w:cs="宋体"/>
                <w:b/>
                <w:bCs/>
                <w:i w:val="0"/>
                <w:iCs w:val="0"/>
                <w:caps w:val="0"/>
                <w:color w:val="000000"/>
                <w:spacing w:val="0"/>
                <w:sz w:val="18"/>
                <w:szCs w:val="18"/>
                <w:lang w:val="en-US" w:eastAsia="zh-CN"/>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依申请公开转主动公开</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依申请公开转主动公开的文件</w:t>
            </w: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规范性文件</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正式文件、文件备案和清理</w:t>
            </w: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及相关业务</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机构职能</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主要职责</w:t>
            </w:r>
          </w:p>
        </w:tc>
        <w:tc>
          <w:tcPr>
            <w:tcW w:w="2477"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依据“三定”方案及职责调整情况确定的本部门最新工作职责、内设机构（办公地址、办公时间、联系方式）</w:t>
            </w:r>
          </w:p>
        </w:tc>
        <w:tc>
          <w:tcPr>
            <w:tcW w:w="1046"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人事</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机构设置</w:t>
            </w:r>
          </w:p>
        </w:tc>
        <w:tc>
          <w:tcPr>
            <w:tcW w:w="2477"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人事</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领导信息</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部门领导</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镇街、部门领导姓名、工作职务、工作分工等</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人事</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规划计划</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规划计划</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公开本地区“十四五”规划和专项规划、空间规划、区域规划；做好历史规划（计划）的归集整理和主动公开</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决策公开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r>
              <w:rPr>
                <w:rStyle w:val="7"/>
                <w:rFonts w:hint="eastAsia" w:ascii="宋体" w:hAnsi="宋体" w:eastAsia="宋体" w:cs="宋体"/>
                <w:b/>
                <w:bCs/>
                <w:i w:val="0"/>
                <w:iCs w:val="0"/>
                <w:caps w:val="0"/>
                <w:color w:val="000000"/>
                <w:spacing w:val="0"/>
                <w:sz w:val="18"/>
                <w:szCs w:val="18"/>
              </w:rPr>
              <w:t>以及局各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室、中队</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政府工作报告</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专题展示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政府工作报告执行措施、进展情况</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决策公开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行政权力</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权责清单</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公开各部门权责清单</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w:t>
            </w:r>
            <w:r>
              <w:rPr>
                <w:rStyle w:val="7"/>
                <w:rFonts w:hint="eastAsia" w:ascii="宋体" w:hAnsi="宋体" w:cs="宋体"/>
                <w:b/>
                <w:bCs/>
                <w:i w:val="0"/>
                <w:iCs w:val="0"/>
                <w:caps w:val="0"/>
                <w:color w:val="000000"/>
                <w:spacing w:val="0"/>
                <w:sz w:val="18"/>
                <w:szCs w:val="18"/>
                <w:lang w:val="en-US" w:eastAsia="zh-CN"/>
              </w:rPr>
              <w:t>综合业务股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行政许可</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公开行政许可依据、条件、程序、办理结果等信息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cs="宋体"/>
                <w:b/>
                <w:bCs/>
                <w:i w:val="0"/>
                <w:iCs w:val="0"/>
                <w:caps w:val="0"/>
                <w:color w:val="000000"/>
                <w:spacing w:val="0"/>
                <w:sz w:val="18"/>
                <w:szCs w:val="18"/>
                <w:lang w:val="en-US" w:eastAsia="zh-CN"/>
              </w:rPr>
              <w:t>综合业务股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做出决定之日起7个工作日之内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行政处罚</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公开行政处罚依据、条件、程序、办理结果等信息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w:t>
            </w:r>
            <w:r>
              <w:rPr>
                <w:rStyle w:val="7"/>
                <w:rFonts w:hint="eastAsia" w:ascii="宋体" w:hAnsi="宋体" w:cs="宋体"/>
                <w:b/>
                <w:bCs/>
                <w:i w:val="0"/>
                <w:iCs w:val="0"/>
                <w:caps w:val="0"/>
                <w:color w:val="000000"/>
                <w:spacing w:val="0"/>
                <w:sz w:val="18"/>
                <w:szCs w:val="18"/>
                <w:lang w:val="en-US" w:eastAsia="zh-CN"/>
              </w:rPr>
              <w:t>综合业务股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做出决定之日起7个工作日之内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行政强制</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公开行政强制依据、条件、程序、办理结果等信息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w:t>
            </w:r>
            <w:r>
              <w:rPr>
                <w:rStyle w:val="7"/>
                <w:rFonts w:hint="eastAsia" w:ascii="宋体" w:hAnsi="宋体" w:cs="宋体"/>
                <w:b/>
                <w:bCs/>
                <w:i w:val="0"/>
                <w:iCs w:val="0"/>
                <w:caps w:val="0"/>
                <w:color w:val="000000"/>
                <w:spacing w:val="0"/>
                <w:sz w:val="18"/>
                <w:szCs w:val="18"/>
                <w:lang w:val="en-US" w:eastAsia="zh-CN"/>
              </w:rPr>
              <w:t>综合业务股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做出决定之日起7个工作日之内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财政信息专题展示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公开部门财政预决算</w:t>
            </w:r>
          </w:p>
        </w:tc>
        <w:tc>
          <w:tcPr>
            <w:tcW w:w="1046"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执行公开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财务</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公开财政专项资金</w:t>
            </w: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财务</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行政执法公示专题展示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公开行政执法事前、事后相关信息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相关信息形成或变更之日起20个工作日内（行政许可、行政处罚、行政强制和其他对外管理服务事项相关信息的公开时限在做出决定之日起7个工作日内）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应急管理</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应急预案</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公开应急预案</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lang w:eastAsia="zh-CN"/>
              </w:rPr>
              <w:t>安全</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lang w:eastAsia="zh-CN"/>
              </w:rPr>
              <w:t>、防汛办公室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预警信息</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公开预警信息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lang w:eastAsia="zh-CN"/>
              </w:rPr>
              <w:t>安全</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lang w:eastAsia="zh-CN"/>
              </w:rPr>
              <w:t>、防汛办公室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应急工作信息</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公开应急工作信息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lang w:eastAsia="zh-CN"/>
              </w:rPr>
              <w:t>安全</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lang w:eastAsia="zh-CN"/>
              </w:rPr>
              <w:t>、防汛办公室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招考录用</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人事任免</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公开人事任免</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人事</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公告公示</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公告公示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公开各镇街、部门通知公告类信息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局属各部门单位</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会议公开</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部门会议</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公开部门会议</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决策公开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cs="宋体"/>
                <w:b/>
                <w:bCs/>
                <w:i w:val="0"/>
                <w:iCs w:val="0"/>
                <w:caps w:val="0"/>
                <w:color w:val="000000"/>
                <w:spacing w:val="0"/>
                <w:sz w:val="18"/>
                <w:szCs w:val="18"/>
                <w:lang w:val="en-US" w:eastAsia="zh-CN"/>
              </w:rPr>
              <w:t>综合股</w:t>
            </w:r>
            <w:r>
              <w:rPr>
                <w:rStyle w:val="7"/>
                <w:rFonts w:hint="eastAsia" w:ascii="宋体" w:hAnsi="宋体" w:eastAsia="宋体" w:cs="宋体"/>
                <w:b/>
                <w:bCs/>
                <w:i w:val="0"/>
                <w:iCs w:val="0"/>
                <w:caps w:val="0"/>
                <w:color w:val="000000"/>
                <w:spacing w:val="0"/>
                <w:sz w:val="18"/>
                <w:szCs w:val="18"/>
              </w:rPr>
              <w:t>、人事</w:t>
            </w:r>
            <w:r>
              <w:rPr>
                <w:rStyle w:val="7"/>
                <w:rFonts w:hint="eastAsia" w:ascii="宋体" w:hAnsi="宋体" w:cs="宋体"/>
                <w:b/>
                <w:bCs/>
                <w:i w:val="0"/>
                <w:iCs w:val="0"/>
                <w:caps w:val="0"/>
                <w:color w:val="000000"/>
                <w:spacing w:val="0"/>
                <w:sz w:val="18"/>
                <w:szCs w:val="18"/>
                <w:lang w:eastAsia="zh-CN"/>
              </w:rPr>
              <w:t>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建议提案办理结果</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建议提案办理总体情况和吸收采纳情况</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公开建议提案办理总体情况和吸收采纳情况</w:t>
            </w:r>
          </w:p>
        </w:tc>
        <w:tc>
          <w:tcPr>
            <w:tcW w:w="1046"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结果公开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人大建议办理情况</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公开人大建议办理复文</w:t>
            </w: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政协提案办理情况</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公开政协提案办理复文</w:t>
            </w:r>
          </w:p>
        </w:tc>
        <w:tc>
          <w:tcPr>
            <w:tcW w:w="1046"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落实情况公开</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重大决策执行落实</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公开政府工作报告、年度重点工作、民生实事项目等重大决策部署的执行情况信息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执行公开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r>
              <w:rPr>
                <w:rStyle w:val="7"/>
                <w:rFonts w:hint="eastAsia" w:ascii="宋体" w:hAnsi="宋体" w:eastAsia="宋体" w:cs="宋体"/>
                <w:b/>
                <w:bCs/>
                <w:i w:val="0"/>
                <w:iCs w:val="0"/>
                <w:caps w:val="0"/>
                <w:color w:val="000000"/>
                <w:spacing w:val="0"/>
                <w:sz w:val="18"/>
                <w:szCs w:val="18"/>
              </w:rPr>
              <w:t>及相关业务</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“双随机、一公开”</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专题展示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公开随机抽查事项清单、抽查计划、抽查情况和结果等信息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eastAsia="宋体" w:cs="宋体"/>
                <w:b/>
                <w:bCs/>
                <w:i w:val="0"/>
                <w:iCs w:val="0"/>
                <w:caps w:val="0"/>
                <w:color w:val="000000"/>
                <w:spacing w:val="0"/>
                <w:sz w:val="18"/>
                <w:szCs w:val="18"/>
              </w:rPr>
              <w:t>政策法规</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w:t>
            </w:r>
            <w:r>
              <w:rPr>
                <w:rStyle w:val="7"/>
                <w:rFonts w:hint="eastAsia" w:ascii="宋体" w:hAnsi="宋体" w:cs="宋体"/>
                <w:b/>
                <w:bCs/>
                <w:i w:val="0"/>
                <w:iCs w:val="0"/>
                <w:caps w:val="0"/>
                <w:color w:val="000000"/>
                <w:spacing w:val="0"/>
                <w:sz w:val="18"/>
                <w:szCs w:val="18"/>
                <w:lang w:val="en-US" w:eastAsia="zh-CN"/>
              </w:rPr>
              <w:t>综合业务股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相关信息形成或变更之日起20个工作日内（行政许可、行政处罚、行政强制和其他对外管理服务事项相关信息的公开时限在做出决定之日起7个工作日内）</w:t>
            </w:r>
          </w:p>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政策解读与回应</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政策解读专题展示</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对出台政策文件采用新闻发布、图文、视频、动漫、H5多种形式进行解读</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决策公开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val="en-US" w:eastAsia="zh-CN"/>
              </w:rPr>
            </w:pPr>
            <w:r>
              <w:rPr>
                <w:rStyle w:val="7"/>
                <w:rFonts w:hint="eastAsia" w:ascii="宋体" w:hAnsi="宋体" w:cs="宋体"/>
                <w:b/>
                <w:bCs/>
                <w:i w:val="0"/>
                <w:iCs w:val="0"/>
                <w:caps w:val="0"/>
                <w:color w:val="000000"/>
                <w:spacing w:val="0"/>
                <w:sz w:val="18"/>
                <w:szCs w:val="18"/>
                <w:lang w:val="en-US" w:eastAsia="zh-CN"/>
              </w:rPr>
              <w:t>综合股</w:t>
            </w:r>
            <w:r>
              <w:rPr>
                <w:rStyle w:val="7"/>
                <w:rFonts w:hint="eastAsia" w:ascii="宋体" w:hAnsi="宋体" w:eastAsia="宋体" w:cs="宋体"/>
                <w:b/>
                <w:bCs/>
                <w:i w:val="0"/>
                <w:iCs w:val="0"/>
                <w:caps w:val="0"/>
                <w:color w:val="000000"/>
                <w:spacing w:val="0"/>
                <w:sz w:val="18"/>
                <w:szCs w:val="18"/>
              </w:rPr>
              <w:t>及相关业务</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文件公布后3个工作日内发布解读文件</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回应关切</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公开政风行风热线、政府开放日、新闻发布会</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服务公开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r>
              <w:rPr>
                <w:rStyle w:val="7"/>
                <w:rFonts w:hint="eastAsia" w:ascii="宋体" w:hAnsi="宋体" w:eastAsia="宋体" w:cs="宋体"/>
                <w:b/>
                <w:bCs/>
                <w:i w:val="0"/>
                <w:iCs w:val="0"/>
                <w:caps w:val="0"/>
                <w:color w:val="000000"/>
                <w:spacing w:val="0"/>
                <w:sz w:val="18"/>
                <w:szCs w:val="18"/>
              </w:rPr>
              <w:t>及相关业务</w:t>
            </w:r>
            <w:r>
              <w:rPr>
                <w:rStyle w:val="7"/>
                <w:rFonts w:hint="eastAsia" w:ascii="宋体" w:hAnsi="宋体" w:cs="宋体"/>
                <w:b/>
                <w:bCs/>
                <w:i w:val="0"/>
                <w:iCs w:val="0"/>
                <w:caps w:val="0"/>
                <w:color w:val="000000"/>
                <w:spacing w:val="0"/>
                <w:sz w:val="18"/>
                <w:szCs w:val="18"/>
                <w:lang w:eastAsia="zh-CN"/>
              </w:rPr>
              <w:t>股</w:t>
            </w:r>
            <w:r>
              <w:rPr>
                <w:rStyle w:val="7"/>
                <w:rFonts w:hint="eastAsia" w:ascii="宋体" w:hAnsi="宋体" w:eastAsia="宋体" w:cs="宋体"/>
                <w:b/>
                <w:bCs/>
                <w:i w:val="0"/>
                <w:iCs w:val="0"/>
                <w:caps w:val="0"/>
                <w:color w:val="000000"/>
                <w:spacing w:val="0"/>
                <w:sz w:val="18"/>
                <w:szCs w:val="18"/>
              </w:rPr>
              <w:t>室</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restart"/>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组织管理</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政务公开组织领导</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公开各部门政务公开分管负责人、承担机构等信息</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lang w:eastAsia="zh-CN"/>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政务公开工作推进</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公开各部门年度政务公开工作实施方案及工作推进情况</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vMerge w:val="continue"/>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政务公开工作培训</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公开政务公开培训计划、培训开展情况</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管理公开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主动公开基本目录</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主动公开基本目录</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公开各部门主动公开基本目录</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服务公开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相关信息形成或变更之日起20个工作日内</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政府信息公开指南</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政府信息公开指南</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公开各镇街、部门政府信息公开指南</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服务公开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动态更新</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jc w:val="center"/>
        </w:trPr>
        <w:tc>
          <w:tcPr>
            <w:tcW w:w="1091"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政府信息公开年报</w:t>
            </w:r>
          </w:p>
        </w:tc>
        <w:tc>
          <w:tcPr>
            <w:tcW w:w="148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政府信息公开年报</w:t>
            </w:r>
          </w:p>
        </w:tc>
        <w:tc>
          <w:tcPr>
            <w:tcW w:w="2477"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公开镇街、部门政府信息公开年报</w:t>
            </w:r>
          </w:p>
        </w:tc>
        <w:tc>
          <w:tcPr>
            <w:tcW w:w="1046"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执行公开</w:t>
            </w:r>
          </w:p>
        </w:tc>
        <w:tc>
          <w:tcPr>
            <w:tcW w:w="1813"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cs="宋体"/>
                <w:b/>
                <w:bCs/>
                <w:i w:val="0"/>
                <w:iCs w:val="0"/>
                <w:caps w:val="0"/>
                <w:color w:val="000000"/>
                <w:spacing w:val="0"/>
                <w:sz w:val="18"/>
                <w:szCs w:val="18"/>
                <w:lang w:val="en-US" w:eastAsia="zh-CN"/>
              </w:rPr>
              <w:t>综合股</w:t>
            </w:r>
            <w:bookmarkStart w:id="0" w:name="_GoBack"/>
            <w:bookmarkEnd w:id="0"/>
          </w:p>
        </w:tc>
        <w:tc>
          <w:tcPr>
            <w:tcW w:w="2264"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各镇街、</w:t>
            </w:r>
            <w:r>
              <w:rPr>
                <w:rStyle w:val="7"/>
                <w:rFonts w:hint="eastAsia" w:ascii="宋体" w:hAnsi="宋体" w:cs="宋体"/>
                <w:b/>
                <w:bCs/>
                <w:i w:val="0"/>
                <w:iCs w:val="0"/>
                <w:caps w:val="0"/>
                <w:color w:val="000000"/>
                <w:spacing w:val="0"/>
                <w:sz w:val="18"/>
                <w:szCs w:val="18"/>
                <w:lang w:eastAsia="zh-CN"/>
              </w:rPr>
              <w:t>县</w:t>
            </w:r>
            <w:r>
              <w:rPr>
                <w:rStyle w:val="7"/>
                <w:rFonts w:hint="eastAsia" w:ascii="宋体" w:hAnsi="宋体" w:eastAsia="宋体" w:cs="宋体"/>
                <w:b/>
                <w:bCs/>
                <w:i w:val="0"/>
                <w:iCs w:val="0"/>
                <w:caps w:val="0"/>
                <w:color w:val="000000"/>
                <w:spacing w:val="0"/>
                <w:sz w:val="18"/>
                <w:szCs w:val="18"/>
              </w:rPr>
              <w:t>直各部门单位每年的1月31日前公开，</w:t>
            </w:r>
            <w:r>
              <w:rPr>
                <w:rStyle w:val="7"/>
                <w:rFonts w:hint="eastAsia" w:ascii="宋体" w:hAnsi="宋体" w:cs="宋体"/>
                <w:b/>
                <w:bCs/>
                <w:i w:val="0"/>
                <w:iCs w:val="0"/>
                <w:caps w:val="0"/>
                <w:color w:val="000000"/>
                <w:spacing w:val="0"/>
                <w:sz w:val="18"/>
                <w:szCs w:val="18"/>
                <w:lang w:eastAsia="zh-CN"/>
              </w:rPr>
              <w:t>县</w:t>
            </w:r>
            <w:r>
              <w:rPr>
                <w:rStyle w:val="7"/>
                <w:rFonts w:hint="eastAsia" w:ascii="宋体" w:hAnsi="宋体" w:eastAsia="宋体" w:cs="宋体"/>
                <w:b/>
                <w:bCs/>
                <w:i w:val="0"/>
                <w:iCs w:val="0"/>
                <w:caps w:val="0"/>
                <w:color w:val="000000"/>
                <w:spacing w:val="0"/>
                <w:sz w:val="18"/>
                <w:szCs w:val="18"/>
              </w:rPr>
              <w:t>政府每年2月10日前公开</w:t>
            </w:r>
          </w:p>
        </w:tc>
        <w:tc>
          <w:tcPr>
            <w:tcW w:w="1418"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政府网站</w:t>
            </w:r>
          </w:p>
        </w:tc>
        <w:tc>
          <w:tcPr>
            <w:tcW w:w="1600" w:type="dxa"/>
            <w:shd w:val="clear" w:color="auto" w:fill="FFFFFF"/>
            <w:noWrap w:val="0"/>
            <w:tcMar>
              <w:top w:w="12" w:type="dxa"/>
              <w:left w:w="12" w:type="dxa"/>
              <w:bottom w:w="0" w:type="dxa"/>
              <w:right w:w="12" w:type="dxa"/>
            </w:tcMar>
            <w:vAlign w:val="center"/>
          </w:tcPr>
          <w:p>
            <w:pPr>
              <w:pStyle w:val="4"/>
              <w:widowControl/>
              <w:spacing w:before="0" w:beforeAutospacing="0" w:after="0" w:afterAutospacing="0" w:line="264" w:lineRule="atLeast"/>
              <w:jc w:val="center"/>
              <w:rPr>
                <w:rStyle w:val="7"/>
                <w:rFonts w:hint="eastAsia" w:ascii="宋体" w:hAnsi="宋体" w:eastAsia="宋体" w:cs="宋体"/>
                <w:b/>
                <w:bCs/>
                <w:i w:val="0"/>
                <w:iCs w:val="0"/>
                <w:caps w:val="0"/>
                <w:color w:val="000000"/>
                <w:spacing w:val="0"/>
                <w:sz w:val="18"/>
                <w:szCs w:val="18"/>
              </w:rPr>
            </w:pPr>
            <w:r>
              <w:rPr>
                <w:rStyle w:val="7"/>
                <w:rFonts w:hint="eastAsia" w:ascii="宋体" w:hAnsi="宋体" w:eastAsia="宋体" w:cs="宋体"/>
                <w:b/>
                <w:bCs/>
                <w:i w:val="0"/>
                <w:iCs w:val="0"/>
                <w:caps w:val="0"/>
                <w:color w:val="000000"/>
                <w:spacing w:val="0"/>
                <w:sz w:val="18"/>
                <w:szCs w:val="18"/>
              </w:rPr>
              <w:t>全社会</w:t>
            </w:r>
          </w:p>
        </w:tc>
      </w:tr>
    </w:tbl>
    <w:p>
      <w:pPr>
        <w:numPr>
          <w:ilvl w:val="0"/>
          <w:numId w:val="0"/>
        </w:numPr>
        <w:rPr>
          <w:rStyle w:val="8"/>
          <w:rFonts w:hint="eastAsia" w:ascii="Arial" w:hAnsi="Arial" w:eastAsia="宋体" w:cs="Arial"/>
          <w:b/>
          <w:bCs/>
          <w:i w:val="0"/>
          <w:iCs w:val="0"/>
          <w:caps w:val="0"/>
          <w:color w:val="333333"/>
          <w:spacing w:val="0"/>
          <w:sz w:val="21"/>
          <w:szCs w:val="21"/>
          <w:shd w:val="clear" w:fill="FFFFFF"/>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zc2ODRkZmU3MzhkOTQ5YjViOTFkNjM2OGEyMTYifQ=="/>
  </w:docVars>
  <w:rsids>
    <w:rsidRoot w:val="00000000"/>
    <w:rsid w:val="0E7B6CC7"/>
    <w:rsid w:val="1079241B"/>
    <w:rsid w:val="3D444B39"/>
    <w:rsid w:val="69CA4249"/>
    <w:rsid w:val="EFEDE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22"/>
    <w:rPr>
      <w:b/>
      <w:bCs/>
    </w:rPr>
  </w:style>
  <w:style w:type="character" w:styleId="8">
    <w:name w:val="Emphasis"/>
    <w:basedOn w:val="6"/>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2188</Words>
  <Characters>2222</Characters>
  <Lines>0</Lines>
  <Paragraphs>0</Paragraphs>
  <TotalTime>1</TotalTime>
  <ScaleCrop>false</ScaleCrop>
  <LinksUpToDate>false</LinksUpToDate>
  <CharactersWithSpaces>2222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dc:creator>
  <cp:lastModifiedBy>○oo回┌憶﹖</cp:lastModifiedBy>
  <cp:lastPrinted>2024-02-29T01:43:29Z</cp:lastPrinted>
  <dcterms:modified xsi:type="dcterms:W3CDTF">2024-02-29T02:18:09Z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9F027FFBCA354704AE1065A7B3AE34CA</vt:lpwstr>
  </property>
</Properties>
</file>