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2344A3">
      <w:pPr>
        <w:jc w:val="center"/>
        <w:rPr>
          <w:rFonts w:hint="eastAsia" w:ascii="黑体" w:hAnsi="黑体" w:eastAsia="黑体" w:cs="黑体"/>
          <w:b w:val="0"/>
          <w:bCs w:val="0"/>
          <w:color w:val="000000"/>
          <w:sz w:val="44"/>
          <w:szCs w:val="44"/>
          <w:lang w:val="zh-CN"/>
        </w:rPr>
      </w:pPr>
      <w:r>
        <w:rPr>
          <w:rFonts w:hint="eastAsia" w:ascii="黑体" w:hAnsi="黑体" w:eastAsia="黑体" w:cs="黑体"/>
          <w:b w:val="0"/>
          <w:bCs w:val="0"/>
          <w:color w:val="000000"/>
          <w:sz w:val="44"/>
          <w:szCs w:val="44"/>
          <w:lang w:val="zh-CN"/>
        </w:rPr>
        <w:t>成武县卫生健康局</w:t>
      </w:r>
      <w:bookmarkStart w:id="0" w:name="_GoBack"/>
      <w:bookmarkEnd w:id="0"/>
      <w:r>
        <w:rPr>
          <w:rFonts w:hint="eastAsia" w:ascii="黑体" w:hAnsi="黑体" w:eastAsia="黑体" w:cs="黑体"/>
          <w:b w:val="0"/>
          <w:bCs w:val="0"/>
          <w:color w:val="000000"/>
          <w:sz w:val="44"/>
          <w:szCs w:val="44"/>
          <w:lang w:val="zh-CN"/>
        </w:rPr>
        <w:t>2025年度</w:t>
      </w:r>
    </w:p>
    <w:p w14:paraId="4074D983">
      <w:pPr>
        <w:jc w:val="center"/>
        <w:rPr>
          <w:rFonts w:hint="eastAsia" w:ascii="黑体" w:hAnsi="黑体" w:eastAsia="黑体" w:cs="黑体"/>
          <w:b w:val="0"/>
          <w:bCs w:val="0"/>
          <w:color w:val="000000"/>
          <w:sz w:val="44"/>
          <w:szCs w:val="44"/>
          <w:lang w:val="zh-CN"/>
        </w:rPr>
      </w:pPr>
      <w:r>
        <w:rPr>
          <w:rFonts w:hint="eastAsia" w:ascii="黑体" w:hAnsi="黑体" w:eastAsia="黑体" w:cs="黑体"/>
          <w:b w:val="0"/>
          <w:bCs w:val="0"/>
          <w:color w:val="000000"/>
          <w:sz w:val="44"/>
          <w:szCs w:val="44"/>
          <w:lang w:val="zh-CN"/>
        </w:rPr>
        <w:t>饮用水供水单位检查计划和方案</w:t>
      </w:r>
    </w:p>
    <w:p w14:paraId="6457C748">
      <w:pPr>
        <w:rPr>
          <w:rFonts w:hint="eastAsia" w:ascii="仿宋_GB2312" w:hAnsi="宋体" w:eastAsia="仿宋_GB2312" w:cs="仿宋"/>
          <w:color w:val="000000"/>
          <w:sz w:val="32"/>
          <w:szCs w:val="32"/>
          <w:lang w:val="zh-CN"/>
        </w:rPr>
      </w:pPr>
    </w:p>
    <w:p w14:paraId="18D29A9A">
      <w:pPr>
        <w:ind w:firstLine="640" w:firstLineChars="200"/>
        <w:rPr>
          <w:rFonts w:hint="eastAsia" w:ascii="仿宋_GB2312" w:hAnsi="宋体" w:eastAsia="仿宋_GB2312" w:cs="仿宋"/>
          <w:color w:val="000000"/>
          <w:sz w:val="32"/>
          <w:szCs w:val="32"/>
          <w:lang w:val="zh-CN"/>
        </w:rPr>
      </w:pPr>
      <w:r>
        <w:rPr>
          <w:rFonts w:hint="eastAsia" w:ascii="仿宋_GB2312" w:hAnsi="宋体" w:eastAsia="仿宋_GB2312" w:cs="仿宋"/>
          <w:color w:val="000000"/>
          <w:sz w:val="32"/>
          <w:szCs w:val="32"/>
          <w:lang w:val="zh-CN"/>
        </w:rPr>
        <w:t>为深入贯彻落实《中华人民共和国传染病防治法》和《生活饮用水卫生监督管理办法》，加强生活饮用水卫生监督管理，保障人民群众饮用水卫生安全，制定本工作计划。</w:t>
      </w:r>
    </w:p>
    <w:p w14:paraId="08115EB9">
      <w:pPr>
        <w:ind w:firstLine="420" w:firstLineChars="200"/>
        <w:rPr>
          <w:rFonts w:hint="eastAsia" w:ascii="仿宋_GB2312" w:hAnsi="宋体" w:eastAsia="仿宋_GB2312"/>
          <w:color w:val="000000"/>
          <w:sz w:val="32"/>
          <w:szCs w:val="32"/>
        </w:rPr>
      </w:pPr>
      <w:r>
        <w:rPr>
          <w:rFonts w:hint="eastAsia" w:ascii="宋体" w:hAnsi="宋体" w:eastAsia="黑体"/>
          <w:color w:val="000000"/>
          <w:szCs w:val="32"/>
        </w:rPr>
        <w:t>一、</w:t>
      </w:r>
      <w:r>
        <w:rPr>
          <w:rFonts w:hint="eastAsia" w:ascii="仿宋_GB2312" w:hAnsi="宋体" w:eastAsia="仿宋_GB2312"/>
          <w:color w:val="000000"/>
          <w:sz w:val="32"/>
          <w:szCs w:val="32"/>
        </w:rPr>
        <w:t>工作任务</w:t>
      </w:r>
    </w:p>
    <w:p w14:paraId="395872B9">
      <w:pPr>
        <w:ind w:firstLine="640" w:firstLineChars="200"/>
        <w:rPr>
          <w:rFonts w:hint="eastAsia" w:ascii="仿宋_GB2312" w:eastAsia="仿宋_GB2312"/>
          <w:color w:val="000000"/>
          <w:sz w:val="32"/>
          <w:szCs w:val="32"/>
        </w:rPr>
      </w:pPr>
      <w:r>
        <w:rPr>
          <w:rFonts w:hint="eastAsia" w:ascii="仿宋_GB2312" w:hAnsi="宋体" w:eastAsia="仿宋_GB2312" w:cs="仿宋"/>
          <w:color w:val="000000"/>
          <w:sz w:val="32"/>
          <w:szCs w:val="32"/>
          <w:lang w:val="zh-CN"/>
        </w:rPr>
        <w:t>对集中式供水单位监督覆盖率要达到100%。通过开展供水单位监督检查，以落实集中式供水单位供水水质消毒措施为抓手，强化供水单位各项卫生安全措施落实，及时发现和消除饮用水卫生安全隐患，严肃查处各类危害生活饮用水卫生安全的违法违规行为。在此基础上</w:t>
      </w:r>
      <w:r>
        <w:rPr>
          <w:rFonts w:hint="eastAsia" w:ascii="仿宋_GB2312" w:eastAsia="仿宋_GB2312"/>
          <w:color w:val="000000"/>
          <w:sz w:val="32"/>
          <w:szCs w:val="32"/>
        </w:rPr>
        <w:t>建立将监督检查发现的卫生安全问题和隐患向主管部门通报机制，督促不达标水厂落实整改措施，切实保障供水水质的卫生安全。</w:t>
      </w:r>
    </w:p>
    <w:p w14:paraId="54494358">
      <w:pPr>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二、工作内容</w:t>
      </w:r>
    </w:p>
    <w:p w14:paraId="2793EF96">
      <w:pPr>
        <w:autoSpaceDE w:val="0"/>
        <w:autoSpaceDN w:val="0"/>
        <w:ind w:firstLine="624"/>
        <w:rPr>
          <w:rFonts w:hint="eastAsia" w:ascii="仿宋_GB2312" w:hAnsi="宋体" w:eastAsia="仿宋_GB2312" w:cs="仿宋"/>
          <w:color w:val="000000"/>
          <w:sz w:val="32"/>
          <w:szCs w:val="32"/>
          <w:lang w:val="zh-CN"/>
        </w:rPr>
      </w:pPr>
      <w:r>
        <w:rPr>
          <w:rFonts w:hint="eastAsia" w:ascii="仿宋_GB2312" w:hAnsi="宋体" w:eastAsia="仿宋_GB2312" w:cs="仿宋"/>
          <w:color w:val="000000"/>
          <w:sz w:val="32"/>
          <w:szCs w:val="32"/>
          <w:lang w:val="zh-CN"/>
        </w:rPr>
        <w:t>对集中式供水单位，</w:t>
      </w:r>
      <w:r>
        <w:rPr>
          <w:rFonts w:hint="eastAsia" w:ascii="仿宋_GB2312" w:hAnsi="宋体" w:eastAsia="仿宋_GB2312" w:cs="仿宋"/>
          <w:color w:val="000000"/>
          <w:sz w:val="32"/>
          <w:szCs w:val="32"/>
          <w:lang w:val="en-US" w:eastAsia="zh-CN"/>
        </w:rPr>
        <w:t>重点</w:t>
      </w:r>
      <w:r>
        <w:rPr>
          <w:rFonts w:hint="eastAsia" w:ascii="仿宋_GB2312" w:hAnsi="宋体" w:eastAsia="仿宋_GB2312" w:cs="仿宋"/>
          <w:color w:val="000000"/>
          <w:sz w:val="32"/>
          <w:szCs w:val="32"/>
          <w:lang w:val="zh-CN"/>
        </w:rPr>
        <w:t>检查内容包括卫生许可证持有情况、水源卫生防护状况、水质消毒设施配置及运转情况、涉水产品索证情况、供、管水人员健康体检及卫生知识培训情况、水质自检开展及上报情况；对全部集中式供水单位现场开展出厂水水质色度、浑浊度、臭和味、肉眼可见物、pH和消毒剂余量检测。建议对全部集中式供水单位采集出厂水进行微生物指标检测。</w:t>
      </w:r>
    </w:p>
    <w:p w14:paraId="51F3E050">
      <w:pPr>
        <w:rPr>
          <w:rFonts w:hint="eastAsia" w:ascii="仿宋_GB2312" w:hAnsi="宋体" w:eastAsia="仿宋_GB2312"/>
          <w:bCs/>
          <w:color w:val="000000"/>
          <w:sz w:val="32"/>
          <w:szCs w:val="32"/>
        </w:rPr>
      </w:pPr>
      <w:r>
        <w:rPr>
          <w:rFonts w:hint="eastAsia" w:ascii="仿宋_GB2312" w:hAnsi="宋体" w:eastAsia="仿宋_GB2312" w:cs="仿宋"/>
          <w:color w:val="000000"/>
          <w:sz w:val="32"/>
          <w:szCs w:val="32"/>
          <w:lang w:val="zh-CN"/>
        </w:rPr>
        <w:t xml:space="preserve">    三、</w:t>
      </w:r>
      <w:r>
        <w:rPr>
          <w:rFonts w:hint="eastAsia" w:ascii="仿宋_GB2312" w:hAnsi="宋体" w:eastAsia="仿宋_GB2312"/>
          <w:bCs/>
          <w:color w:val="000000"/>
          <w:sz w:val="32"/>
          <w:szCs w:val="32"/>
        </w:rPr>
        <w:t>工作安排</w:t>
      </w:r>
    </w:p>
    <w:p w14:paraId="72892E52">
      <w:pPr>
        <w:ind w:firstLine="640" w:firstLineChars="200"/>
        <w:rPr>
          <w:rFonts w:hint="eastAsia" w:ascii="仿宋_GB2312" w:hAnsi="宋体" w:eastAsia="仿宋_GB2312"/>
          <w:color w:val="000000"/>
          <w:sz w:val="32"/>
          <w:szCs w:val="32"/>
        </w:rPr>
      </w:pPr>
      <w:r>
        <w:rPr>
          <w:rFonts w:hint="eastAsia" w:ascii="仿宋_GB2312" w:hAnsi="宋体" w:eastAsia="仿宋_GB2312"/>
          <w:color w:val="000000"/>
          <w:sz w:val="32"/>
          <w:szCs w:val="32"/>
        </w:rPr>
        <w:t>（一）宣传发动阶段（</w:t>
      </w:r>
      <w:r>
        <w:rPr>
          <w:rFonts w:hint="eastAsia" w:ascii="仿宋_GB2312" w:hAnsi="宋体" w:eastAsia="仿宋_GB2312"/>
          <w:color w:val="000000"/>
          <w:sz w:val="32"/>
          <w:szCs w:val="32"/>
          <w:lang w:val="en-US" w:eastAsia="zh-CN"/>
        </w:rPr>
        <w:t>4-6</w:t>
      </w:r>
      <w:r>
        <w:rPr>
          <w:rFonts w:hint="eastAsia" w:ascii="仿宋_GB2312" w:hAnsi="宋体" w:eastAsia="仿宋_GB2312"/>
          <w:color w:val="000000"/>
          <w:sz w:val="32"/>
          <w:szCs w:val="32"/>
        </w:rPr>
        <w:t>月份）。</w:t>
      </w:r>
      <w:r>
        <w:rPr>
          <w:rFonts w:hint="eastAsia" w:ascii="仿宋_GB2312" w:hAnsi="宋体" w:eastAsia="仿宋_GB2312"/>
          <w:color w:val="000000"/>
          <w:sz w:val="32"/>
          <w:szCs w:val="32"/>
          <w:lang w:val="zh-CN"/>
        </w:rPr>
        <w:t>按照本方案要求，结合本地实际</w:t>
      </w:r>
      <w:r>
        <w:rPr>
          <w:rFonts w:hint="eastAsia" w:ascii="仿宋_GB2312" w:hAnsi="宋体" w:eastAsia="仿宋_GB2312"/>
          <w:color w:val="000000"/>
          <w:sz w:val="32"/>
          <w:szCs w:val="32"/>
        </w:rPr>
        <w:t>制定具体实施方案，利用各种方式开展广泛宣传。</w:t>
      </w:r>
    </w:p>
    <w:p w14:paraId="2A1ED77E">
      <w:pPr>
        <w:ind w:firstLine="640" w:firstLineChars="200"/>
        <w:rPr>
          <w:rFonts w:hint="eastAsia" w:ascii="仿宋_GB2312" w:hAnsi="宋体" w:eastAsia="仿宋_GB2312" w:cs="宋体"/>
          <w:color w:val="000000"/>
          <w:sz w:val="32"/>
          <w:szCs w:val="32"/>
        </w:rPr>
      </w:pPr>
      <w:r>
        <w:rPr>
          <w:rFonts w:hint="eastAsia" w:ascii="仿宋_GB2312" w:hAnsi="宋体" w:eastAsia="仿宋_GB2312"/>
          <w:color w:val="000000"/>
          <w:sz w:val="32"/>
          <w:szCs w:val="32"/>
        </w:rPr>
        <w:t>（二）自查整改阶段（</w:t>
      </w:r>
      <w:r>
        <w:rPr>
          <w:rFonts w:hint="eastAsia" w:ascii="仿宋_GB2312" w:hAnsi="宋体" w:eastAsia="仿宋_GB2312"/>
          <w:color w:val="000000"/>
          <w:sz w:val="32"/>
          <w:szCs w:val="32"/>
          <w:lang w:val="en-US" w:eastAsia="zh-CN"/>
        </w:rPr>
        <w:t>6</w:t>
      </w:r>
      <w:r>
        <w:rPr>
          <w:rFonts w:hint="eastAsia" w:ascii="仿宋_GB2312" w:hAnsi="宋体" w:eastAsia="仿宋_GB2312"/>
          <w:color w:val="000000"/>
          <w:sz w:val="32"/>
          <w:szCs w:val="32"/>
        </w:rPr>
        <w:t>-1</w:t>
      </w:r>
      <w:r>
        <w:rPr>
          <w:rFonts w:hint="eastAsia" w:ascii="仿宋_GB2312" w:hAnsi="宋体" w:eastAsia="仿宋_GB2312"/>
          <w:color w:val="000000"/>
          <w:sz w:val="32"/>
          <w:szCs w:val="32"/>
          <w:lang w:val="en-US" w:eastAsia="zh-CN"/>
        </w:rPr>
        <w:t>0</w:t>
      </w:r>
      <w:r>
        <w:rPr>
          <w:rFonts w:hint="eastAsia" w:ascii="仿宋_GB2312" w:hAnsi="宋体" w:eastAsia="仿宋_GB2312"/>
          <w:color w:val="000000"/>
          <w:sz w:val="32"/>
          <w:szCs w:val="32"/>
        </w:rPr>
        <w:t>月份）。相关供水单位全面开展自查自纠，查找问题，认真整改。在此基础上，对辖区内相关供水单位</w:t>
      </w:r>
      <w:r>
        <w:rPr>
          <w:rFonts w:hint="eastAsia" w:ascii="仿宋_GB2312" w:hAnsi="宋体" w:eastAsia="仿宋_GB2312" w:cs="宋体"/>
          <w:color w:val="000000"/>
          <w:sz w:val="32"/>
          <w:szCs w:val="32"/>
        </w:rPr>
        <w:t>进行监督检查</w:t>
      </w:r>
      <w:r>
        <w:rPr>
          <w:rFonts w:hint="eastAsia" w:ascii="仿宋_GB2312" w:hAnsi="宋体" w:eastAsia="仿宋_GB2312"/>
          <w:color w:val="000000"/>
          <w:sz w:val="32"/>
          <w:szCs w:val="32"/>
        </w:rPr>
        <w:t>和采样检测</w:t>
      </w:r>
      <w:r>
        <w:rPr>
          <w:rFonts w:hint="eastAsia" w:ascii="仿宋_GB2312" w:hAnsi="宋体" w:eastAsia="仿宋_GB2312" w:cs="宋体"/>
          <w:color w:val="000000"/>
          <w:sz w:val="32"/>
          <w:szCs w:val="32"/>
        </w:rPr>
        <w:t>，</w:t>
      </w:r>
      <w:r>
        <w:rPr>
          <w:rFonts w:hint="eastAsia" w:ascii="仿宋_GB2312" w:hAnsi="宋体" w:eastAsia="仿宋_GB2312"/>
          <w:color w:val="000000"/>
          <w:sz w:val="32"/>
          <w:szCs w:val="32"/>
        </w:rPr>
        <w:t>督促落实整改措施，查处违法行为</w:t>
      </w:r>
      <w:r>
        <w:rPr>
          <w:rFonts w:hint="eastAsia" w:ascii="仿宋_GB2312" w:hAnsi="宋体" w:eastAsia="仿宋_GB2312"/>
          <w:color w:val="000000"/>
          <w:sz w:val="32"/>
          <w:szCs w:val="32"/>
          <w:lang w:eastAsia="zh-CN"/>
        </w:rPr>
        <w:t>，</w:t>
      </w:r>
      <w:r>
        <w:rPr>
          <w:rFonts w:hint="eastAsia" w:ascii="仿宋_GB2312" w:hAnsi="宋体" w:eastAsia="仿宋_GB2312" w:cs="宋体"/>
          <w:color w:val="000000"/>
          <w:sz w:val="32"/>
          <w:szCs w:val="32"/>
        </w:rPr>
        <w:t>监督覆盖率达到100%。</w:t>
      </w:r>
    </w:p>
    <w:p w14:paraId="1920B425">
      <w:pPr>
        <w:autoSpaceDE w:val="0"/>
        <w:autoSpaceDN w:val="0"/>
        <w:ind w:firstLine="624"/>
        <w:rPr>
          <w:rFonts w:hint="eastAsia" w:ascii="仿宋_GB2312" w:hAnsi="宋体" w:eastAsia="仿宋_GB2312" w:cs="仿宋"/>
          <w:color w:val="000000"/>
          <w:sz w:val="32"/>
          <w:szCs w:val="32"/>
        </w:rPr>
      </w:pPr>
      <w:r>
        <w:rPr>
          <w:rFonts w:hint="eastAsia" w:ascii="仿宋_GB2312" w:hAnsi="宋体" w:eastAsia="仿宋_GB2312" w:cs="仿宋"/>
          <w:color w:val="000000"/>
          <w:sz w:val="32"/>
          <w:szCs w:val="32"/>
          <w:lang w:val="zh-CN"/>
        </w:rPr>
        <w:t>四、工作要求和工作措施</w:t>
      </w:r>
    </w:p>
    <w:p w14:paraId="0D24A5A5">
      <w:pPr>
        <w:autoSpaceDE w:val="0"/>
        <w:autoSpaceDN w:val="0"/>
        <w:ind w:firstLine="624"/>
        <w:rPr>
          <w:rFonts w:hint="eastAsia" w:ascii="仿宋_GB2312" w:hAnsi="宋体" w:eastAsia="仿宋_GB2312" w:cs="仿宋"/>
          <w:color w:val="000000"/>
          <w:sz w:val="32"/>
          <w:szCs w:val="32"/>
          <w:lang w:val="zh-CN"/>
        </w:rPr>
      </w:pPr>
      <w:r>
        <w:rPr>
          <w:rFonts w:hint="eastAsia" w:ascii="仿宋_GB2312" w:hAnsi="宋体" w:eastAsia="仿宋_GB2312" w:cs="仿宋"/>
          <w:color w:val="000000"/>
          <w:sz w:val="32"/>
          <w:szCs w:val="32"/>
          <w:lang w:val="zh-CN"/>
        </w:rPr>
        <w:t>“生活饮用水卫生安全</w:t>
      </w:r>
      <w:r>
        <w:rPr>
          <w:rFonts w:hint="eastAsia" w:ascii="仿宋_GB2312" w:hAnsi="宋体" w:eastAsia="仿宋_GB2312" w:cs="仿宋"/>
          <w:color w:val="000000"/>
          <w:sz w:val="32"/>
          <w:szCs w:val="32"/>
          <w:lang w:val="en-US" w:eastAsia="zh-CN"/>
        </w:rPr>
        <w:t>重点工作</w:t>
      </w:r>
      <w:r>
        <w:rPr>
          <w:rFonts w:hint="eastAsia" w:ascii="仿宋_GB2312" w:hAnsi="宋体" w:eastAsia="仿宋_GB2312" w:cs="仿宋"/>
          <w:color w:val="000000"/>
          <w:sz w:val="32"/>
          <w:szCs w:val="32"/>
          <w:lang w:val="zh-CN"/>
        </w:rPr>
        <w:t>”是</w:t>
      </w:r>
      <w:r>
        <w:rPr>
          <w:rFonts w:hint="eastAsia" w:ascii="仿宋_GB2312" w:eastAsia="仿宋_GB2312"/>
          <w:bCs/>
          <w:color w:val="000000"/>
          <w:sz w:val="32"/>
          <w:szCs w:val="32"/>
          <w:shd w:val="clear" w:color="auto" w:fill="FFFFFF"/>
        </w:rPr>
        <w:t>卫生</w:t>
      </w:r>
      <w:r>
        <w:rPr>
          <w:rFonts w:hint="eastAsia" w:ascii="仿宋_GB2312" w:eastAsia="仿宋_GB2312"/>
          <w:bCs/>
          <w:color w:val="000000"/>
          <w:sz w:val="32"/>
          <w:szCs w:val="32"/>
          <w:shd w:val="clear" w:color="auto" w:fill="FFFFFF"/>
          <w:lang w:eastAsia="zh-CN"/>
        </w:rPr>
        <w:t>健康</w:t>
      </w:r>
      <w:r>
        <w:rPr>
          <w:rFonts w:hint="eastAsia" w:ascii="仿宋_GB2312" w:eastAsia="仿宋_GB2312"/>
          <w:bCs/>
          <w:color w:val="000000"/>
          <w:sz w:val="32"/>
          <w:szCs w:val="32"/>
          <w:shd w:val="clear" w:color="auto" w:fill="FFFFFF"/>
        </w:rPr>
        <w:t>监督规范年活动</w:t>
      </w:r>
      <w:r>
        <w:rPr>
          <w:rFonts w:hint="eastAsia" w:ascii="仿宋_GB2312" w:hAnsi="宋体" w:eastAsia="仿宋_GB2312" w:cs="仿宋"/>
          <w:color w:val="000000"/>
          <w:sz w:val="32"/>
          <w:szCs w:val="32"/>
          <w:lang w:val="zh-CN"/>
        </w:rPr>
        <w:t>的重要内容，我们高度重视、加强领导、周密部署、落实措施、务求实效。</w:t>
      </w:r>
    </w:p>
    <w:p w14:paraId="7DCBA3E3">
      <w:pPr>
        <w:autoSpaceDE w:val="0"/>
        <w:autoSpaceDN w:val="0"/>
        <w:ind w:firstLine="624"/>
        <w:rPr>
          <w:rFonts w:hint="eastAsia" w:ascii="仿宋_GB2312" w:hAnsi="宋体" w:eastAsia="仿宋_GB2312" w:cs="仿宋"/>
          <w:color w:val="000000"/>
          <w:sz w:val="32"/>
          <w:szCs w:val="32"/>
          <w:lang w:val="zh-CN"/>
        </w:rPr>
      </w:pPr>
      <w:r>
        <w:rPr>
          <w:rFonts w:hint="eastAsia" w:ascii="仿宋_GB2312" w:hAnsi="宋体" w:eastAsia="仿宋_GB2312" w:cs="仿宋"/>
          <w:color w:val="000000"/>
          <w:sz w:val="32"/>
          <w:szCs w:val="32"/>
          <w:lang w:val="zh-CN"/>
        </w:rPr>
        <w:t>（一）强化组织领导。卫生健康部门成立相应的领导机构，负责整个活动的组织领导。从卫生监督机构等相关单位、科室抽调精干力量，组成专门队伍，具体负责活动的组织协调、情况调度、督促检查、总结评估等具体工作。要采取得力措施从人员、车辆、物资方面保证整治行动的顺利开展。</w:t>
      </w:r>
    </w:p>
    <w:p w14:paraId="156DB9DF">
      <w:pPr>
        <w:ind w:firstLine="640" w:firstLineChars="200"/>
        <w:rPr>
          <w:rFonts w:hint="eastAsia" w:ascii="仿宋_GB2312" w:hAnsi="宋体" w:eastAsia="仿宋_GB2312" w:cs="仿宋"/>
          <w:color w:val="000000"/>
          <w:sz w:val="32"/>
          <w:szCs w:val="32"/>
          <w:lang w:val="zh-CN"/>
        </w:rPr>
      </w:pPr>
      <w:r>
        <w:rPr>
          <w:rFonts w:hint="eastAsia" w:ascii="仿宋_GB2312" w:hAnsi="宋体" w:eastAsia="仿宋_GB2312" w:cs="仿宋"/>
          <w:color w:val="000000"/>
          <w:sz w:val="32"/>
          <w:szCs w:val="32"/>
          <w:lang w:val="zh-CN"/>
        </w:rPr>
        <w:t xml:space="preserve">（二）加强宣传引导。利用各种方式向广大群众宣传饮用水相关卫生要求和知识，进一步提高全社会饮用水卫生安全意识和知识水平，形成全社会重视饮用水卫生安全的浓厚氛围。要完善群众举报投诉受理、查处机制，曝光典型案件。      </w:t>
      </w:r>
    </w:p>
    <w:p w14:paraId="3A9DD5C5">
      <w:pPr>
        <w:autoSpaceDE w:val="0"/>
        <w:autoSpaceDN w:val="0"/>
        <w:ind w:firstLine="624"/>
        <w:rPr>
          <w:rFonts w:hint="eastAsia" w:ascii="仿宋_GB2312" w:hAnsi="宋体" w:eastAsia="仿宋_GB2312"/>
          <w:bCs/>
          <w:color w:val="000000"/>
          <w:sz w:val="32"/>
          <w:szCs w:val="32"/>
        </w:rPr>
      </w:pPr>
      <w:r>
        <w:rPr>
          <w:rFonts w:hint="eastAsia" w:ascii="仿宋_GB2312" w:hAnsi="宋体" w:eastAsia="仿宋_GB2312" w:cs="仿宋"/>
          <w:color w:val="000000"/>
          <w:sz w:val="32"/>
          <w:szCs w:val="32"/>
          <w:lang w:val="zh-CN"/>
        </w:rPr>
        <w:t>（三）确保取得实效。对存在卫生安全隐患的供水单位，尤其是消毒措施不落实的单位，应督促其限期改进。卫生健康执法机构应根据各供水单位的不同情况，指导供水单位选择适当的水质消毒方式并加以落实。对拒不整改或整改不力的单位应依照《传染病防治法》和《生活饮用水卫生监督管理办法》的有关规定进行查处。</w:t>
      </w:r>
      <w:r>
        <w:rPr>
          <w:rFonts w:hint="eastAsia" w:ascii="仿宋_GB2312" w:hAnsi="宋体" w:eastAsia="仿宋_GB2312"/>
          <w:color w:val="000000"/>
          <w:spacing w:val="-10"/>
          <w:sz w:val="32"/>
          <w:szCs w:val="32"/>
        </w:rPr>
        <w:t>按照《</w:t>
      </w:r>
      <w:r>
        <w:rPr>
          <w:rFonts w:hint="eastAsia" w:ascii="仿宋_GB2312" w:hAnsi="宋体" w:eastAsia="仿宋_GB2312"/>
          <w:bCs/>
          <w:color w:val="000000"/>
          <w:sz w:val="32"/>
          <w:szCs w:val="32"/>
        </w:rPr>
        <w:t>山东省卫生行政处罚裁量基准》达到一般情形以上的原则上要立案查处，并将查处结果向社会公布，扩大影响、震慑违法。</w:t>
      </w:r>
    </w:p>
    <w:p w14:paraId="2EA31242">
      <w:pPr>
        <w:autoSpaceDE w:val="0"/>
        <w:autoSpaceDN w:val="0"/>
        <w:ind w:firstLine="624"/>
        <w:rPr>
          <w:rFonts w:hint="eastAsia" w:ascii="仿宋_GB2312" w:hAnsi="宋体" w:eastAsia="仿宋_GB2312" w:cs="仿宋"/>
          <w:color w:val="000000"/>
          <w:sz w:val="32"/>
          <w:szCs w:val="32"/>
          <w:lang w:val="zh-CN"/>
        </w:rPr>
      </w:pPr>
      <w:r>
        <w:rPr>
          <w:rFonts w:hint="eastAsia" w:ascii="仿宋_GB2312" w:hAnsi="宋体" w:eastAsia="仿宋_GB2312" w:cs="仿宋"/>
          <w:color w:val="000000"/>
          <w:sz w:val="32"/>
          <w:szCs w:val="32"/>
          <w:lang w:val="zh-CN"/>
        </w:rPr>
        <w:t>（四）建立供水单位卫生健康执法检查和水质抽检结果通报、报告制度。对于在监督检查中发现的卫生安全问题，以及水质检测不合格的情况，应及时汇总整理，向供水单位的主管部门进行情况通报；对于检查中发现的重大卫生安全隐患以及水质检测出现较为严重的超标情况的，还应立即向当地人民政府报告，以便及时采取应对措施。</w:t>
      </w:r>
    </w:p>
    <w:p w14:paraId="454A55D6">
      <w:pPr>
        <w:ind w:firstLine="640" w:firstLineChars="200"/>
        <w:rPr>
          <w:rFonts w:hint="eastAsia" w:ascii="仿宋_GB2312" w:hAnsi="宋体" w:eastAsia="仿宋_GB2312"/>
          <w:bCs/>
          <w:color w:val="000000"/>
          <w:sz w:val="32"/>
          <w:szCs w:val="32"/>
          <w:lang w:eastAsia="zh-CN"/>
        </w:rPr>
      </w:pPr>
      <w:r>
        <w:rPr>
          <w:rFonts w:hint="eastAsia" w:ascii="仿宋_GB2312" w:hAnsi="宋体" w:eastAsia="仿宋_GB2312" w:cs="仿宋"/>
          <w:color w:val="000000"/>
          <w:sz w:val="32"/>
          <w:szCs w:val="32"/>
          <w:lang w:val="zh-CN"/>
        </w:rPr>
        <w:t>（五）</w:t>
      </w:r>
      <w:r>
        <w:rPr>
          <w:rFonts w:hint="eastAsia" w:ascii="仿宋_GB2312" w:hAnsi="宋体" w:eastAsia="仿宋_GB2312"/>
          <w:bCs/>
          <w:color w:val="000000"/>
          <w:sz w:val="32"/>
          <w:szCs w:val="32"/>
        </w:rPr>
        <w:t>在1</w:t>
      </w:r>
      <w:r>
        <w:rPr>
          <w:rFonts w:hint="eastAsia" w:ascii="仿宋_GB2312" w:hAnsi="宋体" w:eastAsia="仿宋_GB2312"/>
          <w:bCs/>
          <w:color w:val="000000"/>
          <w:sz w:val="32"/>
          <w:szCs w:val="32"/>
          <w:lang w:val="en-US" w:eastAsia="zh-CN"/>
        </w:rPr>
        <w:t>0</w:t>
      </w:r>
      <w:r>
        <w:rPr>
          <w:rFonts w:hint="eastAsia" w:ascii="仿宋_GB2312" w:hAnsi="宋体" w:eastAsia="仿宋_GB2312"/>
          <w:bCs/>
          <w:color w:val="000000"/>
          <w:sz w:val="32"/>
          <w:szCs w:val="32"/>
        </w:rPr>
        <w:t>月底前</w:t>
      </w:r>
      <w:r>
        <w:rPr>
          <w:rFonts w:hint="eastAsia" w:ascii="仿宋_GB2312" w:hAnsi="宋体" w:eastAsia="仿宋_GB2312"/>
          <w:bCs/>
          <w:color w:val="000000"/>
          <w:sz w:val="32"/>
          <w:szCs w:val="32"/>
          <w:lang w:eastAsia="zh-CN"/>
        </w:rPr>
        <w:t>按照计划方案</w:t>
      </w:r>
      <w:r>
        <w:rPr>
          <w:rFonts w:hint="eastAsia" w:ascii="仿宋_GB2312" w:hAnsi="宋体" w:eastAsia="仿宋_GB2312"/>
          <w:bCs/>
          <w:color w:val="000000"/>
          <w:sz w:val="32"/>
          <w:szCs w:val="32"/>
        </w:rPr>
        <w:t>完成生活饮用水卫生安全工作</w:t>
      </w:r>
      <w:r>
        <w:rPr>
          <w:rFonts w:hint="eastAsia" w:ascii="仿宋_GB2312" w:hAnsi="宋体" w:eastAsia="仿宋_GB2312"/>
          <w:bCs/>
          <w:color w:val="000000"/>
          <w:sz w:val="32"/>
          <w:szCs w:val="32"/>
          <w:lang w:eastAsia="zh-CN"/>
        </w:rPr>
        <w:t>。</w:t>
      </w:r>
    </w:p>
    <w:p w14:paraId="5DAF0E3A">
      <w:pPr>
        <w:ind w:firstLine="640" w:firstLineChars="200"/>
        <w:rPr>
          <w:rFonts w:hint="eastAsia" w:ascii="仿宋_GB2312" w:hAnsi="宋体" w:eastAsia="仿宋_GB2312"/>
          <w:bCs/>
          <w:color w:val="000000"/>
          <w:sz w:val="32"/>
          <w:szCs w:val="32"/>
          <w:lang w:eastAsia="zh-CN"/>
        </w:rPr>
      </w:pPr>
    </w:p>
    <w:p w14:paraId="1D1C3E7D">
      <w:pPr>
        <w:ind w:firstLine="640" w:firstLineChars="200"/>
        <w:rPr>
          <w:rFonts w:hint="eastAsia" w:ascii="仿宋_GB2312" w:hAnsi="宋体" w:eastAsia="仿宋_GB2312"/>
          <w:bCs/>
          <w:color w:val="000000"/>
          <w:sz w:val="32"/>
          <w:szCs w:val="32"/>
          <w:lang w:eastAsia="zh-CN"/>
        </w:rPr>
      </w:pPr>
    </w:p>
    <w:p w14:paraId="5A869819">
      <w:pPr>
        <w:ind w:firstLine="640" w:firstLineChars="200"/>
        <w:rPr>
          <w:rFonts w:hint="eastAsia" w:ascii="仿宋_GB2312" w:hAnsi="宋体" w:eastAsia="仿宋_GB2312"/>
          <w:bCs/>
          <w:color w:val="000000"/>
          <w:sz w:val="32"/>
          <w:szCs w:val="32"/>
          <w:lang w:eastAsia="zh-CN"/>
        </w:rPr>
      </w:pPr>
    </w:p>
    <w:p w14:paraId="5C9B47D0">
      <w:pPr>
        <w:ind w:firstLine="640" w:firstLineChars="200"/>
        <w:rPr>
          <w:rFonts w:hint="eastAsia" w:ascii="仿宋_GB2312" w:hAnsi="宋体" w:eastAsia="仿宋_GB2312"/>
          <w:bCs/>
          <w:color w:val="000000"/>
          <w:sz w:val="32"/>
          <w:szCs w:val="32"/>
          <w:lang w:eastAsia="zh-CN"/>
        </w:rPr>
      </w:pPr>
    </w:p>
    <w:p w14:paraId="2A442A00">
      <w:pPr>
        <w:ind w:firstLine="640" w:firstLineChars="200"/>
        <w:jc w:val="right"/>
        <w:rPr>
          <w:rFonts w:hint="eastAsia" w:ascii="仿宋_GB2312" w:hAnsi="宋体" w:eastAsia="仿宋_GB2312"/>
          <w:bCs/>
          <w:color w:val="000000"/>
          <w:sz w:val="32"/>
          <w:szCs w:val="32"/>
          <w:lang w:eastAsia="zh-CN"/>
        </w:rPr>
      </w:pPr>
      <w:r>
        <w:rPr>
          <w:rFonts w:hint="eastAsia" w:ascii="仿宋_GB2312" w:hAnsi="宋体" w:eastAsia="仿宋_GB2312"/>
          <w:bCs/>
          <w:color w:val="000000"/>
          <w:sz w:val="32"/>
          <w:szCs w:val="32"/>
          <w:lang w:eastAsia="zh-CN"/>
        </w:rPr>
        <w:t>成武县卫生健康局</w:t>
      </w:r>
    </w:p>
    <w:p w14:paraId="11DF0191">
      <w:pPr>
        <w:ind w:firstLine="640" w:firstLineChars="200"/>
        <w:jc w:val="right"/>
        <w:rPr>
          <w:rFonts w:hint="default" w:ascii="仿宋_GB2312" w:hAnsi="宋体" w:eastAsia="仿宋_GB2312"/>
          <w:bCs/>
          <w:color w:val="000000"/>
          <w:sz w:val="32"/>
          <w:szCs w:val="32"/>
          <w:lang w:val="en-US" w:eastAsia="zh-CN"/>
        </w:rPr>
      </w:pPr>
      <w:r>
        <w:rPr>
          <w:rFonts w:hint="eastAsia" w:ascii="仿宋_GB2312" w:hAnsi="宋体" w:eastAsia="仿宋_GB2312"/>
          <w:bCs/>
          <w:color w:val="000000"/>
          <w:sz w:val="32"/>
          <w:szCs w:val="32"/>
          <w:lang w:val="en-US" w:eastAsia="zh-CN"/>
        </w:rPr>
        <w:t>2025年3月7日</w:t>
      </w:r>
    </w:p>
    <w:p w14:paraId="1C465CC9">
      <w:pPr>
        <w:rPr>
          <w:rFonts w:hint="eastAsia" w:ascii="仿宋_GB2312" w:eastAsia="仿宋_GB2312"/>
          <w:sz w:val="32"/>
          <w:szCs w:val="32"/>
          <w:lang w:val="en-US" w:eastAsia="zh-CN"/>
        </w:rPr>
      </w:pPr>
    </w:p>
    <w:sectPr>
      <w:pgSz w:w="11906" w:h="16838"/>
      <w:pgMar w:top="1440" w:right="1797"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YzA4ZjM2Y2VkNGRlZjdhYjE1NjVmOGU2ZGNiNGQifQ=="/>
  </w:docVars>
  <w:rsids>
    <w:rsidRoot w:val="00A9385B"/>
    <w:rsid w:val="00031AA2"/>
    <w:rsid w:val="0010207A"/>
    <w:rsid w:val="00105272"/>
    <w:rsid w:val="002C0F18"/>
    <w:rsid w:val="003D64ED"/>
    <w:rsid w:val="00483801"/>
    <w:rsid w:val="00564DC2"/>
    <w:rsid w:val="00690574"/>
    <w:rsid w:val="006D1EFB"/>
    <w:rsid w:val="006F4253"/>
    <w:rsid w:val="00746C4C"/>
    <w:rsid w:val="00752729"/>
    <w:rsid w:val="00823879"/>
    <w:rsid w:val="00963611"/>
    <w:rsid w:val="009D6382"/>
    <w:rsid w:val="00A10D60"/>
    <w:rsid w:val="00A42654"/>
    <w:rsid w:val="00A56851"/>
    <w:rsid w:val="00A9385B"/>
    <w:rsid w:val="00B53FF8"/>
    <w:rsid w:val="00C11EDB"/>
    <w:rsid w:val="00C40208"/>
    <w:rsid w:val="00E34FC5"/>
    <w:rsid w:val="00F9528F"/>
    <w:rsid w:val="00FC024C"/>
    <w:rsid w:val="069322C4"/>
    <w:rsid w:val="0BB90DFA"/>
    <w:rsid w:val="1B383A6A"/>
    <w:rsid w:val="1DCF58F8"/>
    <w:rsid w:val="25ED73C1"/>
    <w:rsid w:val="309D6884"/>
    <w:rsid w:val="31A51CA0"/>
    <w:rsid w:val="399A760A"/>
    <w:rsid w:val="3ABE1342"/>
    <w:rsid w:val="3E7B2FB9"/>
    <w:rsid w:val="4140747C"/>
    <w:rsid w:val="4C7F426D"/>
    <w:rsid w:val="6F3E1430"/>
    <w:rsid w:val="6FEF0F26"/>
    <w:rsid w:val="74A712D2"/>
    <w:rsid w:val="77BB1A40"/>
    <w:rsid w:val="78046BCA"/>
    <w:rsid w:val="79FF5395"/>
    <w:rsid w:val="7B865F49"/>
    <w:rsid w:val="7C350F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autoRedefine/>
    <w:qFormat/>
    <w:uiPriority w:val="0"/>
    <w:rPr>
      <w:color w:val="555555"/>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Template>
  <Company>Lenovo (Beijing) Limited</Company>
  <Pages>3</Pages>
  <Words>1293</Words>
  <Characters>1312</Characters>
  <Lines>23</Lines>
  <Paragraphs>6</Paragraphs>
  <TotalTime>2</TotalTime>
  <ScaleCrop>false</ScaleCrop>
  <LinksUpToDate>false</LinksUpToDate>
  <CharactersWithSpaces>1322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2017-04-26T02:50:00Z</dcterms:created>
  <dc:creator>Lenovo User</dc:creator>
  <cp:lastModifiedBy>海纳百川LG</cp:lastModifiedBy>
  <cp:lastPrinted>2021-03-25T01:16:00Z</cp:lastPrinted>
  <dcterms:modified xsi:type="dcterms:W3CDTF">2025-04-17T02:20:44Z</dcterms:modified>
  <dc:title>全省生活饮用水卫生安全专项整治工作方案</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A316880742B84A75A82641902CEA5398_13</vt:lpwstr>
  </property>
  <property fmtid="{D5CDD505-2E9C-101B-9397-08002B2CF9AE}" pid="4" name="KSOTemplateDocerSaveRecord">
    <vt:lpwstr>eyJoZGlkIjoiZGJmYzA4ZjM2Y2VkNGRlZjdhYjE1NjVmOGU2ZGNiNGQiLCJ1c2VySWQiOiIyMDgxOTk5NDkifQ==</vt:lpwstr>
  </property>
</Properties>
</file>