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keepNext/>
        <w:keepLines/>
        <w:widowControl/>
        <w:spacing w:line="253" w:lineRule="auto"/>
        <w:jc w:val="center"/>
        <w:outlineLvl w:val="0"/>
        <w:rPr>
          <w:rFonts w:ascii="微软雅黑" w:hAnsi="微软雅黑" w:eastAsia="微软雅黑" w:cs="微软雅黑"/>
          <w:color w:val="000000"/>
          <w:sz w:val="36"/>
          <w:szCs w:val="22"/>
        </w:rPr>
      </w:pPr>
      <w:r>
        <w:rPr>
          <w:rFonts w:ascii="微软雅黑" w:hAnsi="微软雅黑" w:eastAsia="微软雅黑" w:cs="微软雅黑"/>
          <w:color w:val="000000"/>
          <w:sz w:val="44"/>
          <w:szCs w:val="22"/>
        </w:rPr>
        <w:t>山东省基层医疗卫生机构门诊标准化医防融合服务流程设置指南</w:t>
      </w:r>
      <w:r>
        <w:rPr>
          <w:rFonts w:ascii="宋体" w:hAnsi="宋体" w:cs="宋体"/>
          <w:color w:val="000000"/>
          <w:sz w:val="44"/>
          <w:szCs w:val="22"/>
        </w:rPr>
        <w:t xml:space="preserve"> </w:t>
      </w:r>
    </w:p>
    <w:p>
      <w:pPr>
        <w:pageBreakBefore w:val="0"/>
        <w:widowControl/>
        <w:kinsoku/>
        <w:wordWrap/>
        <w:overflowPunct/>
        <w:topLinePunct w:val="0"/>
        <w:autoSpaceDE/>
        <w:autoSpaceDN/>
        <w:bidi w:val="0"/>
        <w:adjustRightInd/>
        <w:snapToGrid/>
        <w:spacing w:after="175" w:line="520" w:lineRule="exact"/>
        <w:jc w:val="left"/>
        <w:textAlignment w:val="auto"/>
        <w:rPr>
          <w:rFonts w:hint="eastAsia" w:ascii="仿宋" w:hAnsi="仿宋" w:eastAsia="仿宋" w:cs="仿宋"/>
          <w:color w:val="000000"/>
          <w:sz w:val="32"/>
          <w:szCs w:val="32"/>
        </w:rPr>
      </w:pPr>
      <w:r>
        <w:rPr>
          <w:rFonts w:ascii="宋体" w:hAnsi="宋体" w:cs="宋体"/>
          <w:color w:val="000000"/>
          <w:sz w:val="32"/>
          <w:szCs w:val="22"/>
        </w:rPr>
        <w:t xml:space="preserve">    </w:t>
      </w:r>
      <w:r>
        <w:rPr>
          <w:rFonts w:hint="eastAsia" w:ascii="仿宋" w:hAnsi="仿宋" w:eastAsia="仿宋" w:cs="仿宋"/>
          <w:color w:val="000000"/>
          <w:sz w:val="32"/>
          <w:szCs w:val="32"/>
        </w:rPr>
        <w:t xml:space="preserve"> 一、诊前 </w:t>
      </w:r>
    </w:p>
    <w:p>
      <w:pPr>
        <w:keepNext/>
        <w:keepLines/>
        <w:pageBreakBefore w:val="0"/>
        <w:widowControl/>
        <w:kinsoku/>
        <w:wordWrap/>
        <w:overflowPunct/>
        <w:topLinePunct w:val="0"/>
        <w:autoSpaceDE/>
        <w:autoSpaceDN/>
        <w:bidi w:val="0"/>
        <w:adjustRightInd/>
        <w:snapToGrid/>
        <w:spacing w:after="175" w:line="520" w:lineRule="exact"/>
        <w:ind w:left="636" w:hanging="10"/>
        <w:jc w:val="left"/>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（一）分诊台或挂号台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1.设置要求。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设置在门诊大</w:t>
      </w:r>
      <w:bookmarkStart w:id="0" w:name="_GoBack"/>
      <w:bookmarkEnd w:id="0"/>
      <w:r>
        <w:rPr>
          <w:rFonts w:hint="eastAsia" w:ascii="仿宋" w:hAnsi="仿宋" w:eastAsia="仿宋" w:cs="仿宋"/>
          <w:color w:val="000000"/>
          <w:sz w:val="32"/>
          <w:szCs w:val="32"/>
        </w:rPr>
        <w:t xml:space="preserve">厅。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2.服务内容。 </w:t>
      </w:r>
    </w:p>
    <w:p>
      <w:pPr>
        <w:pageBreakBefore w:val="0"/>
        <w:widowControl/>
        <w:kinsoku/>
        <w:wordWrap/>
        <w:overflowPunct/>
        <w:topLinePunct w:val="0"/>
        <w:autoSpaceDE/>
        <w:autoSpaceDN/>
        <w:bidi w:val="0"/>
        <w:adjustRightInd/>
        <w:snapToGrid/>
        <w:spacing w:after="173" w:line="520" w:lineRule="exact"/>
        <w:ind w:right="191"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（1）查看就诊居民是否已建档、已签约。 </w:t>
      </w:r>
    </w:p>
    <w:p>
      <w:pPr>
        <w:pageBreakBefore w:val="0"/>
        <w:widowControl/>
        <w:kinsoku/>
        <w:wordWrap/>
        <w:overflowPunct/>
        <w:topLinePunct w:val="0"/>
        <w:autoSpaceDE/>
        <w:autoSpaceDN/>
        <w:bidi w:val="0"/>
        <w:adjustRightInd/>
        <w:snapToGrid/>
        <w:spacing w:after="173" w:line="520" w:lineRule="exact"/>
        <w:ind w:right="191"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（2）对于未建档、未签约居民，引导居民到健康驿站进行建档、签约和诊前基本指标测量。 </w:t>
      </w:r>
    </w:p>
    <w:p>
      <w:pPr>
        <w:pageBreakBefore w:val="0"/>
        <w:widowControl/>
        <w:kinsoku/>
        <w:wordWrap/>
        <w:overflowPunct/>
        <w:topLinePunct w:val="0"/>
        <w:autoSpaceDE/>
        <w:autoSpaceDN/>
        <w:bidi w:val="0"/>
        <w:adjustRightInd/>
        <w:snapToGrid/>
        <w:spacing w:after="173" w:line="520" w:lineRule="exact"/>
        <w:ind w:right="191" w:firstLine="707" w:firstLineChars="22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（3）对于已建档、已签约居民，引导居民到健康驿站或家庭医生工作室或三高诊室更新健康档案和诊前基本指标测量。 </w:t>
      </w:r>
    </w:p>
    <w:p>
      <w:pPr>
        <w:pageBreakBefore w:val="0"/>
        <w:widowControl/>
        <w:kinsoku/>
        <w:wordWrap/>
        <w:overflowPunct/>
        <w:topLinePunct w:val="0"/>
        <w:autoSpaceDE/>
        <w:autoSpaceDN/>
        <w:bidi w:val="0"/>
        <w:adjustRightInd/>
        <w:snapToGrid/>
        <w:spacing w:after="173" w:line="520" w:lineRule="exact"/>
        <w:ind w:right="191" w:firstLine="707" w:firstLineChars="22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（4）对于急症患者应由医务人员陪同至急诊科或专科诊室就诊。 </w:t>
      </w:r>
    </w:p>
    <w:p>
      <w:pPr>
        <w:pageBreakBefore w:val="0"/>
        <w:widowControl/>
        <w:kinsoku/>
        <w:wordWrap/>
        <w:overflowPunct/>
        <w:topLinePunct w:val="0"/>
        <w:autoSpaceDE/>
        <w:autoSpaceDN/>
        <w:bidi w:val="0"/>
        <w:adjustRightInd/>
        <w:snapToGrid/>
        <w:spacing w:after="173" w:line="520" w:lineRule="exact"/>
        <w:ind w:left="641" w:right="19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(5)接受群众基本就医咨询。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3.物品配置。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配有一次性医用外科口罩、非接触测温设备、手卫生设施、</w:t>
      </w:r>
    </w:p>
    <w:p>
      <w:pPr>
        <w:pageBreakBefore w:val="0"/>
        <w:widowControl/>
        <w:kinsoku/>
        <w:wordWrap/>
        <w:overflowPunct/>
        <w:topLinePunct w:val="0"/>
        <w:autoSpaceDE/>
        <w:autoSpaceDN/>
        <w:bidi w:val="0"/>
        <w:adjustRightInd/>
        <w:snapToGrid/>
        <w:spacing w:after="173" w:line="520" w:lineRule="exact"/>
        <w:ind w:left="10"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医用垃圾桶、便民轮椅等设备。 </w:t>
      </w:r>
    </w:p>
    <w:p>
      <w:pPr>
        <w:pageBreakBefore w:val="0"/>
        <w:widowControl/>
        <w:kinsoku/>
        <w:wordWrap/>
        <w:overflowPunct/>
        <w:topLinePunct w:val="0"/>
        <w:autoSpaceDE/>
        <w:autoSpaceDN/>
        <w:bidi w:val="0"/>
        <w:adjustRightInd/>
        <w:snapToGrid/>
        <w:spacing w:after="248"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b/>
          <w:color w:val="000000"/>
          <w:sz w:val="32"/>
          <w:szCs w:val="32"/>
        </w:rPr>
        <w:t xml:space="preserve"> </w:t>
      </w:r>
      <w:r>
        <w:rPr>
          <w:rFonts w:hint="eastAsia" w:ascii="仿宋" w:hAnsi="仿宋" w:eastAsia="仿宋" w:cs="仿宋"/>
          <w:color w:val="000000"/>
          <w:sz w:val="32"/>
          <w:szCs w:val="32"/>
        </w:rPr>
        <w:t xml:space="preserve">信息化要求。 </w:t>
      </w:r>
    </w:p>
    <w:p>
      <w:pPr>
        <w:pageBreakBefore w:val="0"/>
        <w:widowControl/>
        <w:kinsoku/>
        <w:wordWrap/>
        <w:overflowPunct/>
        <w:topLinePunct w:val="0"/>
        <w:autoSpaceDE/>
        <w:autoSpaceDN/>
        <w:bidi w:val="0"/>
        <w:adjustRightInd/>
        <w:snapToGrid/>
        <w:spacing w:line="520" w:lineRule="exact"/>
        <w:ind w:firstLine="64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可通过刷身份证或医保卡、扫码查看该就诊居民是否已建档、已签约。 </w:t>
      </w:r>
    </w:p>
    <w:p>
      <w:pPr>
        <w:keepNext/>
        <w:keepLines/>
        <w:pageBreakBefore w:val="0"/>
        <w:widowControl/>
        <w:kinsoku/>
        <w:wordWrap/>
        <w:overflowPunct/>
        <w:topLinePunct w:val="0"/>
        <w:autoSpaceDE/>
        <w:autoSpaceDN/>
        <w:bidi w:val="0"/>
        <w:adjustRightInd/>
        <w:snapToGrid/>
        <w:spacing w:after="175" w:line="520" w:lineRule="exact"/>
        <w:ind w:left="636" w:hanging="10"/>
        <w:jc w:val="left"/>
        <w:textAlignment w:val="auto"/>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（二）健康驿站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1.设置要求。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设置在门诊大厅。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2.服务内容。 </w:t>
      </w:r>
    </w:p>
    <w:p>
      <w:pPr>
        <w:pageBreakBefore w:val="0"/>
        <w:widowControl/>
        <w:kinsoku/>
        <w:wordWrap/>
        <w:overflowPunct/>
        <w:topLinePunct w:val="0"/>
        <w:autoSpaceDE/>
        <w:autoSpaceDN/>
        <w:bidi w:val="0"/>
        <w:adjustRightInd/>
        <w:snapToGrid/>
        <w:spacing w:after="173" w:line="520" w:lineRule="exact"/>
        <w:ind w:right="191" w:firstLine="707" w:firstLineChars="22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(1)为未建档居民建立健康档案，并告知服务内容。 </w:t>
      </w:r>
    </w:p>
    <w:p>
      <w:pPr>
        <w:pageBreakBefore w:val="0"/>
        <w:widowControl/>
        <w:kinsoku/>
        <w:wordWrap/>
        <w:overflowPunct/>
        <w:topLinePunct w:val="0"/>
        <w:autoSpaceDE/>
        <w:autoSpaceDN/>
        <w:bidi w:val="0"/>
        <w:adjustRightInd/>
        <w:snapToGrid/>
        <w:spacing w:after="173" w:line="520" w:lineRule="exact"/>
        <w:ind w:right="191" w:firstLine="707" w:firstLineChars="22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(2)为未签约居民宣传介绍家庭医生签约服务，并引导签约。 </w:t>
      </w:r>
    </w:p>
    <w:p>
      <w:pPr>
        <w:pageBreakBefore w:val="0"/>
        <w:widowControl/>
        <w:kinsoku/>
        <w:wordWrap/>
        <w:overflowPunct/>
        <w:topLinePunct w:val="0"/>
        <w:autoSpaceDE/>
        <w:autoSpaceDN/>
        <w:bidi w:val="0"/>
        <w:adjustRightInd/>
        <w:snapToGrid/>
        <w:spacing w:after="173" w:line="520" w:lineRule="exact"/>
        <w:ind w:right="191" w:firstLine="707" w:firstLineChars="22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(3)进行血压、血糖、身高、体重等诊前的基本指标的测量，数据可同步至医生门诊工作站或基本公共卫生服务信息系统（落实35岁以上人群首诊测血压制度）。 </w:t>
      </w:r>
    </w:p>
    <w:p>
      <w:pPr>
        <w:pageBreakBefore w:val="0"/>
        <w:widowControl/>
        <w:kinsoku/>
        <w:wordWrap/>
        <w:overflowPunct/>
        <w:topLinePunct w:val="0"/>
        <w:autoSpaceDE/>
        <w:autoSpaceDN/>
        <w:bidi w:val="0"/>
        <w:adjustRightInd/>
        <w:snapToGrid/>
        <w:spacing w:after="173" w:line="520" w:lineRule="exact"/>
        <w:ind w:right="191" w:firstLine="707" w:firstLineChars="22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(4)指导患者到家庭医生工作室或三高诊室就诊。对有其他就医需求的患者引导至专科诊室就诊。 </w:t>
      </w:r>
    </w:p>
    <w:p>
      <w:pPr>
        <w:pageBreakBefore w:val="0"/>
        <w:widowControl/>
        <w:kinsoku/>
        <w:wordWrap/>
        <w:overflowPunct/>
        <w:topLinePunct w:val="0"/>
        <w:autoSpaceDE/>
        <w:autoSpaceDN/>
        <w:bidi w:val="0"/>
        <w:adjustRightInd/>
        <w:snapToGrid/>
        <w:spacing w:line="520" w:lineRule="exact"/>
        <w:ind w:left="1" w:firstLine="64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①已提前预约就诊居民。引导患者到预约的家庭医生工作室或专科诊室就诊。 </w:t>
      </w:r>
    </w:p>
    <w:p>
      <w:pPr>
        <w:pageBreakBefore w:val="0"/>
        <w:widowControl/>
        <w:kinsoku/>
        <w:wordWrap/>
        <w:overflowPunct/>
        <w:topLinePunct w:val="0"/>
        <w:autoSpaceDE/>
        <w:autoSpaceDN/>
        <w:bidi w:val="0"/>
        <w:adjustRightInd/>
        <w:snapToGrid/>
        <w:spacing w:line="520" w:lineRule="exact"/>
        <w:ind w:left="1" w:firstLine="64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②已签约、未提前预约就诊居民。优先到签约家庭医生处（家庭医生工作室或三高诊室）就诊，或根据患病情况指导其到专科诊室就诊。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③拒绝签约、未提前预约就诊居民。根据患病情况指导其</w:t>
      </w:r>
    </w:p>
    <w:p>
      <w:pPr>
        <w:pageBreakBefore w:val="0"/>
        <w:widowControl/>
        <w:kinsoku/>
        <w:wordWrap/>
        <w:overflowPunct/>
        <w:topLinePunct w:val="0"/>
        <w:autoSpaceDE/>
        <w:autoSpaceDN/>
        <w:bidi w:val="0"/>
        <w:adjustRightInd/>
        <w:snapToGrid/>
        <w:spacing w:after="173" w:line="520" w:lineRule="exact"/>
        <w:ind w:left="11"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到相应诊室就诊。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3.物品配置。 </w:t>
      </w:r>
    </w:p>
    <w:p>
      <w:pPr>
        <w:pageBreakBefore w:val="0"/>
        <w:widowControl/>
        <w:kinsoku/>
        <w:wordWrap/>
        <w:overflowPunct/>
        <w:topLinePunct w:val="0"/>
        <w:autoSpaceDE/>
        <w:autoSpaceDN/>
        <w:bidi w:val="0"/>
        <w:adjustRightInd/>
        <w:snapToGrid/>
        <w:spacing w:line="520" w:lineRule="exact"/>
        <w:ind w:firstLine="64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配备测量血压、血糖、身高、体重、腰围、臀围、中医体质辨识设备；有控油、限盐、BMI表、居民平衡膳食宝塔等工具展示；配备舒适的座椅或沙发、饮水设备等。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4.信息化要求。 </w:t>
      </w:r>
    </w:p>
    <w:p>
      <w:pPr>
        <w:pageBreakBefore w:val="0"/>
        <w:widowControl/>
        <w:kinsoku/>
        <w:wordWrap/>
        <w:overflowPunct/>
        <w:topLinePunct w:val="0"/>
        <w:autoSpaceDE/>
        <w:autoSpaceDN/>
        <w:bidi w:val="0"/>
        <w:adjustRightInd/>
        <w:snapToGrid/>
        <w:spacing w:line="520" w:lineRule="exact"/>
        <w:ind w:firstLine="64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配备支持身份识别（身份证、医保卡、电子健康卡等）、自助检测、数据上传、结果打印和查询互动的信息系统。能够直接从分诊台获取居民登记的基本信息，健康驿站测量数据可实现同步至医生门诊工作站、健康档案。 </w:t>
      </w:r>
    </w:p>
    <w:p>
      <w:pPr>
        <w:keepNext/>
        <w:keepLines/>
        <w:pageBreakBefore w:val="0"/>
        <w:widowControl/>
        <w:kinsoku/>
        <w:wordWrap/>
        <w:overflowPunct/>
        <w:topLinePunct w:val="0"/>
        <w:autoSpaceDE/>
        <w:autoSpaceDN/>
        <w:bidi w:val="0"/>
        <w:adjustRightInd/>
        <w:snapToGrid/>
        <w:spacing w:after="175" w:line="520" w:lineRule="exact"/>
        <w:ind w:left="636" w:hanging="10"/>
        <w:jc w:val="left"/>
        <w:textAlignment w:val="auto"/>
        <w:outlineLvl w:val="2"/>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二、诊中（三高诊室/家庭医生工作室)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1.服务内容。 </w:t>
      </w:r>
    </w:p>
    <w:p>
      <w:pPr>
        <w:pageBreakBefore w:val="0"/>
        <w:widowControl/>
        <w:numPr>
          <w:ilvl w:val="0"/>
          <w:numId w:val="1"/>
        </w:numPr>
        <w:kinsoku/>
        <w:wordWrap/>
        <w:overflowPunct/>
        <w:topLinePunct w:val="0"/>
        <w:autoSpaceDE/>
        <w:autoSpaceDN/>
        <w:bidi w:val="0"/>
        <w:adjustRightInd/>
        <w:snapToGrid/>
        <w:spacing w:after="173" w:line="520" w:lineRule="exact"/>
        <w:ind w:left="10" w:right="191" w:firstLine="627" w:firstLineChars="196"/>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更新健康档案和诊前基本指标测量（由家庭医生工作室的公共卫生人员或护士完成，如已在健康驿站完成上述工作，无需重复开展）。 </w:t>
      </w:r>
    </w:p>
    <w:p>
      <w:pPr>
        <w:pageBreakBefore w:val="0"/>
        <w:widowControl/>
        <w:numPr>
          <w:ilvl w:val="0"/>
          <w:numId w:val="1"/>
        </w:numPr>
        <w:kinsoku/>
        <w:wordWrap/>
        <w:overflowPunct/>
        <w:topLinePunct w:val="0"/>
        <w:autoSpaceDE/>
        <w:autoSpaceDN/>
        <w:bidi w:val="0"/>
        <w:adjustRightInd/>
        <w:snapToGrid/>
        <w:spacing w:after="173" w:line="520" w:lineRule="exact"/>
        <w:ind w:left="11" w:right="191" w:firstLine="627" w:firstLineChars="196"/>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医防融合服务：前期用药随访和生活方式干预、控制情况评估，根据病情填写或补充更新慢性病医防融合信息补充表。 </w:t>
      </w:r>
    </w:p>
    <w:p>
      <w:pPr>
        <w:pageBreakBefore w:val="0"/>
        <w:widowControl/>
        <w:numPr>
          <w:ilvl w:val="0"/>
          <w:numId w:val="1"/>
        </w:numPr>
        <w:kinsoku/>
        <w:wordWrap/>
        <w:overflowPunct/>
        <w:topLinePunct w:val="0"/>
        <w:autoSpaceDE/>
        <w:autoSpaceDN/>
        <w:bidi w:val="0"/>
        <w:adjustRightInd/>
        <w:snapToGrid/>
        <w:spacing w:after="173" w:line="520" w:lineRule="exact"/>
        <w:ind w:right="19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远程协诊、转诊。 </w:t>
      </w:r>
    </w:p>
    <w:p>
      <w:pPr>
        <w:pageBreakBefore w:val="0"/>
        <w:widowControl/>
        <w:numPr>
          <w:ilvl w:val="0"/>
          <w:numId w:val="1"/>
        </w:numPr>
        <w:kinsoku/>
        <w:wordWrap/>
        <w:overflowPunct/>
        <w:topLinePunct w:val="0"/>
        <w:autoSpaceDE/>
        <w:autoSpaceDN/>
        <w:bidi w:val="0"/>
        <w:adjustRightInd/>
        <w:snapToGrid/>
        <w:spacing w:after="173" w:line="520" w:lineRule="exact"/>
        <w:ind w:left="0" w:right="191" w:firstLine="566" w:firstLineChars="177"/>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维持或调整诊疗方案提供规范化诊疗服务、居家监测方案、生活方式干预方案。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2.物品配置。 </w:t>
      </w:r>
    </w:p>
    <w:p>
      <w:pPr>
        <w:pageBreakBefore w:val="0"/>
        <w:widowControl/>
        <w:kinsoku/>
        <w:wordWrap/>
        <w:overflowPunct/>
        <w:topLinePunct w:val="0"/>
        <w:autoSpaceDE/>
        <w:autoSpaceDN/>
        <w:bidi w:val="0"/>
        <w:adjustRightInd/>
        <w:snapToGrid/>
        <w:spacing w:line="520" w:lineRule="exact"/>
        <w:ind w:firstLine="709"/>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诊断桌、就诊椅、诊断床、屏风或隔帘、血压计、血糖仪、身高体重秤、检眼镜、心电图机/心血管超声、尿微量白蛋白检测仪、神经病变检查箱（配备128Hz音叉、10 g尼龙单丝、叩诊锤等）。有条件的基层医疗卫生机构可配备全科一体化诊疗设备。中医家庭医生工作室还应配备提供中医药服务设备。 </w:t>
      </w:r>
    </w:p>
    <w:p>
      <w:pPr>
        <w:pageBreakBefore w:val="0"/>
        <w:widowControl/>
        <w:kinsoku/>
        <w:wordWrap/>
        <w:overflowPunct/>
        <w:topLinePunct w:val="0"/>
        <w:autoSpaceDE/>
        <w:autoSpaceDN/>
        <w:bidi w:val="0"/>
        <w:adjustRightInd/>
        <w:snapToGrid/>
        <w:spacing w:line="520" w:lineRule="exact"/>
        <w:ind w:firstLine="643"/>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信息化要求。医生门诊工作站可便捷查看既往病史、过敏史、既往就诊、随访和体检中对诊疗有意义的阳性信息、签约情况等。可自动获取分诊台、健康驿站采集的居民信息和相关测量指标的数据，作为本次诊疗的参考数据。HIS系统高血压和糖尿病患者的用药信息可推送至基本公共卫生服务信息系统，主动提醒随访人员，可一键纳入随访表。医生门诊工作站可跳转至居民健康档案系统并实现诊间随访。 </w:t>
      </w:r>
    </w:p>
    <w:p>
      <w:pPr>
        <w:keepNext/>
        <w:keepLines/>
        <w:pageBreakBefore w:val="0"/>
        <w:widowControl/>
        <w:kinsoku/>
        <w:wordWrap/>
        <w:overflowPunct/>
        <w:topLinePunct w:val="0"/>
        <w:autoSpaceDE/>
        <w:autoSpaceDN/>
        <w:bidi w:val="0"/>
        <w:adjustRightInd/>
        <w:snapToGrid/>
        <w:spacing w:after="175" w:line="520" w:lineRule="exact"/>
        <w:ind w:left="636" w:hanging="10"/>
        <w:jc w:val="left"/>
        <w:textAlignment w:val="auto"/>
        <w:outlineLvl w:val="2"/>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三、诊后（健康驿站）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1.服务内容。 </w:t>
      </w:r>
    </w:p>
    <w:p>
      <w:pPr>
        <w:pageBreakBefore w:val="0"/>
        <w:widowControl/>
        <w:kinsoku/>
        <w:wordWrap/>
        <w:overflowPunct/>
        <w:topLinePunct w:val="0"/>
        <w:autoSpaceDE/>
        <w:autoSpaceDN/>
        <w:bidi w:val="0"/>
        <w:adjustRightInd/>
        <w:snapToGrid/>
        <w:spacing w:after="173" w:line="520" w:lineRule="exact"/>
        <w:ind w:left="709" w:right="19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(1)完善健康档案随访、签约、履约相关信息。 </w:t>
      </w:r>
    </w:p>
    <w:p>
      <w:pPr>
        <w:pageBreakBefore w:val="0"/>
        <w:widowControl/>
        <w:kinsoku/>
        <w:wordWrap/>
        <w:overflowPunct/>
        <w:topLinePunct w:val="0"/>
        <w:autoSpaceDE/>
        <w:autoSpaceDN/>
        <w:bidi w:val="0"/>
        <w:adjustRightInd/>
        <w:snapToGrid/>
        <w:spacing w:after="173" w:line="520" w:lineRule="exact"/>
        <w:ind w:left="709" w:right="19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(2)个性化健康教育、健康咨询。 </w:t>
      </w:r>
    </w:p>
    <w:p>
      <w:pPr>
        <w:pageBreakBefore w:val="0"/>
        <w:widowControl/>
        <w:kinsoku/>
        <w:wordWrap/>
        <w:overflowPunct/>
        <w:topLinePunct w:val="0"/>
        <w:autoSpaceDE/>
        <w:autoSpaceDN/>
        <w:bidi w:val="0"/>
        <w:adjustRightInd/>
        <w:snapToGrid/>
        <w:spacing w:after="173" w:line="520" w:lineRule="exact"/>
        <w:ind w:left="709" w:right="19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(3)提供分装药盒、服药时间确认等服务。 </w:t>
      </w:r>
    </w:p>
    <w:p>
      <w:pPr>
        <w:pageBreakBefore w:val="0"/>
        <w:widowControl/>
        <w:kinsoku/>
        <w:wordWrap/>
        <w:overflowPunct/>
        <w:topLinePunct w:val="0"/>
        <w:autoSpaceDE/>
        <w:autoSpaceDN/>
        <w:bidi w:val="0"/>
        <w:adjustRightInd/>
        <w:snapToGrid/>
        <w:spacing w:after="173" w:line="520" w:lineRule="exact"/>
        <w:ind w:left="709" w:right="19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(4)健康积分累积和兑换。 </w:t>
      </w:r>
    </w:p>
    <w:p>
      <w:pPr>
        <w:pageBreakBefore w:val="0"/>
        <w:widowControl/>
        <w:kinsoku/>
        <w:wordWrap/>
        <w:overflowPunct/>
        <w:topLinePunct w:val="0"/>
        <w:autoSpaceDE/>
        <w:autoSpaceDN/>
        <w:bidi w:val="0"/>
        <w:adjustRightInd/>
        <w:snapToGrid/>
        <w:spacing w:after="173" w:line="520" w:lineRule="exact"/>
        <w:ind w:left="709" w:right="191"/>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(5)预约下次服务时间。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2.信息化要求。 </w:t>
      </w:r>
    </w:p>
    <w:p>
      <w:pPr>
        <w:pageBreakBefore w:val="0"/>
        <w:widowControl/>
        <w:kinsoku/>
        <w:wordWrap/>
        <w:overflowPunct/>
        <w:topLinePunct w:val="0"/>
        <w:autoSpaceDE/>
        <w:autoSpaceDN/>
        <w:bidi w:val="0"/>
        <w:adjustRightInd/>
        <w:snapToGrid/>
        <w:spacing w:after="173" w:line="520" w:lineRule="exact"/>
        <w:ind w:left="639"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可完善随访、健康教育、履约等信息，线上健康积分累计</w:t>
      </w:r>
    </w:p>
    <w:p>
      <w:pPr>
        <w:pageBreakBefore w:val="0"/>
        <w:widowControl/>
        <w:kinsoku/>
        <w:wordWrap/>
        <w:overflowPunct/>
        <w:topLinePunct w:val="0"/>
        <w:autoSpaceDE/>
        <w:autoSpaceDN/>
        <w:bidi w:val="0"/>
        <w:adjustRightInd/>
        <w:snapToGrid/>
        <w:spacing w:after="173" w:line="520" w:lineRule="exact"/>
        <w:ind w:left="10" w:hanging="1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和兑换，提供预约诊疗服务。 </w:t>
      </w:r>
    </w:p>
    <w:p>
      <w:pPr>
        <w:pageBreakBefore w:val="0"/>
        <w:kinsoku/>
        <w:wordWrap/>
        <w:overflowPunct/>
        <w:topLinePunct w:val="0"/>
        <w:autoSpaceDE/>
        <w:autoSpaceDN/>
        <w:bidi w:val="0"/>
        <w:adjustRightInd/>
        <w:snapToGrid/>
        <w:spacing w:line="520" w:lineRule="exact"/>
        <w:textAlignment w:val="auto"/>
        <w:rPr>
          <w:rFonts w:ascii="黑体" w:hAnsi="黑体" w:eastAsia="黑体" w:cs="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8158B"/>
    <w:multiLevelType w:val="multilevel"/>
    <w:tmpl w:val="6EE8158B"/>
    <w:lvl w:ilvl="0" w:tentative="0">
      <w:start w:val="1"/>
      <w:numFmt w:val="decimal"/>
      <w:lvlText w:val="（%1）"/>
      <w:lvlJc w:val="left"/>
      <w:pPr>
        <w:ind w:left="629"/>
      </w:pPr>
      <w:rPr>
        <w:rFonts w:ascii="仿宋" w:hAnsi="仿宋" w:eastAsia="仿宋" w:cs="仿宋"/>
        <w:b w:val="0"/>
        <w:i w:val="0"/>
        <w:strike w:val="0"/>
        <w:dstrike w:val="0"/>
        <w:color w:val="000000"/>
        <w:sz w:val="32"/>
        <w:szCs w:val="32"/>
        <w:u w:val="none" w:color="000000"/>
        <w:shd w:val="clear" w:color="auto" w:fill="auto"/>
        <w:vertAlign w:val="baseline"/>
      </w:rPr>
    </w:lvl>
    <w:lvl w:ilvl="1" w:tentative="0">
      <w:start w:val="1"/>
      <w:numFmt w:val="lowerLetter"/>
      <w:lvlText w:val="%2"/>
      <w:lvlJc w:val="left"/>
      <w:pPr>
        <w:ind w:left="1721"/>
      </w:pPr>
      <w:rPr>
        <w:rFonts w:ascii="仿宋" w:hAnsi="仿宋" w:eastAsia="仿宋" w:cs="仿宋"/>
        <w:b w:val="0"/>
        <w:i w:val="0"/>
        <w:strike w:val="0"/>
        <w:dstrike w:val="0"/>
        <w:color w:val="000000"/>
        <w:sz w:val="32"/>
        <w:szCs w:val="32"/>
        <w:u w:val="none" w:color="000000"/>
        <w:shd w:val="clear" w:color="auto" w:fill="auto"/>
        <w:vertAlign w:val="baseline"/>
      </w:rPr>
    </w:lvl>
    <w:lvl w:ilvl="2" w:tentative="0">
      <w:start w:val="1"/>
      <w:numFmt w:val="lowerRoman"/>
      <w:lvlText w:val="%3"/>
      <w:lvlJc w:val="left"/>
      <w:pPr>
        <w:ind w:left="2441"/>
      </w:pPr>
      <w:rPr>
        <w:rFonts w:ascii="仿宋" w:hAnsi="仿宋" w:eastAsia="仿宋" w:cs="仿宋"/>
        <w:b w:val="0"/>
        <w:i w:val="0"/>
        <w:strike w:val="0"/>
        <w:dstrike w:val="0"/>
        <w:color w:val="000000"/>
        <w:sz w:val="32"/>
        <w:szCs w:val="32"/>
        <w:u w:val="none" w:color="000000"/>
        <w:shd w:val="clear" w:color="auto" w:fill="auto"/>
        <w:vertAlign w:val="baseline"/>
      </w:rPr>
    </w:lvl>
    <w:lvl w:ilvl="3" w:tentative="0">
      <w:start w:val="1"/>
      <w:numFmt w:val="decimal"/>
      <w:lvlText w:val="%4"/>
      <w:lvlJc w:val="left"/>
      <w:pPr>
        <w:ind w:left="3161"/>
      </w:pPr>
      <w:rPr>
        <w:rFonts w:ascii="仿宋" w:hAnsi="仿宋" w:eastAsia="仿宋" w:cs="仿宋"/>
        <w:b w:val="0"/>
        <w:i w:val="0"/>
        <w:strike w:val="0"/>
        <w:dstrike w:val="0"/>
        <w:color w:val="000000"/>
        <w:sz w:val="32"/>
        <w:szCs w:val="32"/>
        <w:u w:val="none" w:color="000000"/>
        <w:shd w:val="clear" w:color="auto" w:fill="auto"/>
        <w:vertAlign w:val="baseline"/>
      </w:rPr>
    </w:lvl>
    <w:lvl w:ilvl="4" w:tentative="0">
      <w:start w:val="1"/>
      <w:numFmt w:val="lowerLetter"/>
      <w:lvlText w:val="%5"/>
      <w:lvlJc w:val="left"/>
      <w:pPr>
        <w:ind w:left="3881"/>
      </w:pPr>
      <w:rPr>
        <w:rFonts w:ascii="仿宋" w:hAnsi="仿宋" w:eastAsia="仿宋" w:cs="仿宋"/>
        <w:b w:val="0"/>
        <w:i w:val="0"/>
        <w:strike w:val="0"/>
        <w:dstrike w:val="0"/>
        <w:color w:val="000000"/>
        <w:sz w:val="32"/>
        <w:szCs w:val="32"/>
        <w:u w:val="none" w:color="000000"/>
        <w:shd w:val="clear" w:color="auto" w:fill="auto"/>
        <w:vertAlign w:val="baseline"/>
      </w:rPr>
    </w:lvl>
    <w:lvl w:ilvl="5" w:tentative="0">
      <w:start w:val="1"/>
      <w:numFmt w:val="lowerRoman"/>
      <w:lvlText w:val="%6"/>
      <w:lvlJc w:val="left"/>
      <w:pPr>
        <w:ind w:left="4601"/>
      </w:pPr>
      <w:rPr>
        <w:rFonts w:ascii="仿宋" w:hAnsi="仿宋" w:eastAsia="仿宋" w:cs="仿宋"/>
        <w:b w:val="0"/>
        <w:i w:val="0"/>
        <w:strike w:val="0"/>
        <w:dstrike w:val="0"/>
        <w:color w:val="000000"/>
        <w:sz w:val="32"/>
        <w:szCs w:val="32"/>
        <w:u w:val="none" w:color="000000"/>
        <w:shd w:val="clear" w:color="auto" w:fill="auto"/>
        <w:vertAlign w:val="baseline"/>
      </w:rPr>
    </w:lvl>
    <w:lvl w:ilvl="6" w:tentative="0">
      <w:start w:val="1"/>
      <w:numFmt w:val="decimal"/>
      <w:lvlText w:val="%7"/>
      <w:lvlJc w:val="left"/>
      <w:pPr>
        <w:ind w:left="5321"/>
      </w:pPr>
      <w:rPr>
        <w:rFonts w:ascii="仿宋" w:hAnsi="仿宋" w:eastAsia="仿宋" w:cs="仿宋"/>
        <w:b w:val="0"/>
        <w:i w:val="0"/>
        <w:strike w:val="0"/>
        <w:dstrike w:val="0"/>
        <w:color w:val="000000"/>
        <w:sz w:val="32"/>
        <w:szCs w:val="32"/>
        <w:u w:val="none" w:color="000000"/>
        <w:shd w:val="clear" w:color="auto" w:fill="auto"/>
        <w:vertAlign w:val="baseline"/>
      </w:rPr>
    </w:lvl>
    <w:lvl w:ilvl="7" w:tentative="0">
      <w:start w:val="1"/>
      <w:numFmt w:val="lowerLetter"/>
      <w:lvlText w:val="%8"/>
      <w:lvlJc w:val="left"/>
      <w:pPr>
        <w:ind w:left="6041"/>
      </w:pPr>
      <w:rPr>
        <w:rFonts w:ascii="仿宋" w:hAnsi="仿宋" w:eastAsia="仿宋" w:cs="仿宋"/>
        <w:b w:val="0"/>
        <w:i w:val="0"/>
        <w:strike w:val="0"/>
        <w:dstrike w:val="0"/>
        <w:color w:val="000000"/>
        <w:sz w:val="32"/>
        <w:szCs w:val="32"/>
        <w:u w:val="none" w:color="000000"/>
        <w:shd w:val="clear" w:color="auto" w:fill="auto"/>
        <w:vertAlign w:val="baseline"/>
      </w:rPr>
    </w:lvl>
    <w:lvl w:ilvl="8" w:tentative="0">
      <w:start w:val="1"/>
      <w:numFmt w:val="lowerRoman"/>
      <w:lvlText w:val="%9"/>
      <w:lvlJc w:val="left"/>
      <w:pPr>
        <w:ind w:left="6761"/>
      </w:pPr>
      <w:rPr>
        <w:rFonts w:ascii="仿宋" w:hAnsi="仿宋" w:eastAsia="仿宋" w:cs="仿宋"/>
        <w:b w:val="0"/>
        <w:i w:val="0"/>
        <w:strike w:val="0"/>
        <w:dstrike w:val="0"/>
        <w:color w:val="000000"/>
        <w:sz w:val="32"/>
        <w:szCs w:val="32"/>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MTU4NGQ2NTc4MjQxYjMzYTI0YjFhYTVjMTMwODgifQ=="/>
  </w:docVars>
  <w:rsids>
    <w:rsidRoot w:val="00000000"/>
    <w:rsid w:val="1241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2024-03-28T03:30:18Z</dcterms:created>
  <dc:creator>Administrator</dc:creator>
  <cp:lastModifiedBy>訾蕊</cp:lastModifiedBy>
  <dcterms:modified xsi:type="dcterms:W3CDTF">2024-03-28T03:30:36Z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27D3B4138625414080F3D2FC990FA316_12</vt:lpwstr>
  </property>
</Properties>
</file>